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5698" w14:textId="77777777" w:rsidR="00DF5922" w:rsidRPr="00ED3445" w:rsidRDefault="00DF5922" w:rsidP="00DF5922">
      <w:pPr>
        <w:pStyle w:val="Default"/>
        <w:jc w:val="center"/>
        <w:rPr>
          <w:b/>
          <w:bCs/>
          <w:sz w:val="21"/>
          <w:szCs w:val="21"/>
        </w:rPr>
      </w:pPr>
      <w:r w:rsidRPr="00ED3445">
        <w:rPr>
          <w:b/>
          <w:bCs/>
          <w:sz w:val="21"/>
          <w:szCs w:val="21"/>
        </w:rPr>
        <w:t>ESTUARY TRANSIT DISTRICT</w:t>
      </w:r>
    </w:p>
    <w:p w14:paraId="0356F3F8" w14:textId="77777777" w:rsidR="00DF5922" w:rsidRPr="00ED3445" w:rsidRDefault="00DF5922" w:rsidP="00DF5922">
      <w:pPr>
        <w:pStyle w:val="Default"/>
        <w:jc w:val="center"/>
        <w:rPr>
          <w:b/>
          <w:bCs/>
          <w:sz w:val="21"/>
          <w:szCs w:val="21"/>
        </w:rPr>
      </w:pPr>
      <w:r w:rsidRPr="00ED3445">
        <w:rPr>
          <w:b/>
          <w:bCs/>
          <w:sz w:val="21"/>
          <w:szCs w:val="21"/>
        </w:rPr>
        <w:t>DISADVANTAGED BUSINESS ENTERPRISE PROGRAM</w:t>
      </w:r>
    </w:p>
    <w:p w14:paraId="39DA1031" w14:textId="77777777" w:rsidR="00DF5922" w:rsidRPr="00ED3445" w:rsidRDefault="00DF5922" w:rsidP="00DF5922">
      <w:pPr>
        <w:pStyle w:val="Default"/>
        <w:jc w:val="center"/>
        <w:rPr>
          <w:b/>
          <w:bCs/>
          <w:sz w:val="21"/>
          <w:szCs w:val="21"/>
        </w:rPr>
      </w:pPr>
      <w:r w:rsidRPr="00ED3445">
        <w:rPr>
          <w:b/>
          <w:bCs/>
          <w:sz w:val="21"/>
          <w:szCs w:val="21"/>
        </w:rPr>
        <w:t>GOAL SETTING/METHODOLOGY</w:t>
      </w:r>
    </w:p>
    <w:p w14:paraId="7DABE9E2" w14:textId="37C53CAC" w:rsidR="00DF5922" w:rsidRPr="00ED3445" w:rsidRDefault="00DF5922" w:rsidP="00DF5922">
      <w:pPr>
        <w:pStyle w:val="Default"/>
        <w:jc w:val="center"/>
        <w:rPr>
          <w:b/>
          <w:bCs/>
          <w:sz w:val="21"/>
          <w:szCs w:val="21"/>
        </w:rPr>
      </w:pPr>
      <w:r w:rsidRPr="00ED3445">
        <w:rPr>
          <w:b/>
          <w:bCs/>
          <w:sz w:val="21"/>
          <w:szCs w:val="21"/>
        </w:rPr>
        <w:t>FISCAL YEARS 20</w:t>
      </w:r>
      <w:r w:rsidR="00BF5D0F" w:rsidRPr="00ED3445">
        <w:rPr>
          <w:b/>
          <w:bCs/>
          <w:sz w:val="21"/>
          <w:szCs w:val="21"/>
        </w:rPr>
        <w:t>2</w:t>
      </w:r>
      <w:r w:rsidR="00C5472D">
        <w:rPr>
          <w:b/>
          <w:bCs/>
          <w:sz w:val="21"/>
          <w:szCs w:val="21"/>
        </w:rPr>
        <w:t>4</w:t>
      </w:r>
      <w:r w:rsidRPr="00ED3445">
        <w:rPr>
          <w:b/>
          <w:bCs/>
          <w:sz w:val="21"/>
          <w:szCs w:val="21"/>
        </w:rPr>
        <w:t>, 20</w:t>
      </w:r>
      <w:r w:rsidR="00BF5D0F" w:rsidRPr="00ED3445">
        <w:rPr>
          <w:b/>
          <w:bCs/>
          <w:sz w:val="21"/>
          <w:szCs w:val="21"/>
        </w:rPr>
        <w:t>2</w:t>
      </w:r>
      <w:r w:rsidR="00C5472D">
        <w:rPr>
          <w:b/>
          <w:bCs/>
          <w:sz w:val="21"/>
          <w:szCs w:val="21"/>
        </w:rPr>
        <w:t>5</w:t>
      </w:r>
      <w:r w:rsidRPr="00ED3445">
        <w:rPr>
          <w:b/>
          <w:bCs/>
          <w:sz w:val="21"/>
          <w:szCs w:val="21"/>
        </w:rPr>
        <w:t xml:space="preserve"> AND 202</w:t>
      </w:r>
      <w:r w:rsidR="00C5472D">
        <w:rPr>
          <w:b/>
          <w:bCs/>
          <w:sz w:val="21"/>
          <w:szCs w:val="21"/>
        </w:rPr>
        <w:t>6</w:t>
      </w:r>
    </w:p>
    <w:p w14:paraId="47388B3F" w14:textId="77777777" w:rsidR="00DF5922" w:rsidRPr="00ED3445" w:rsidRDefault="00DF5922" w:rsidP="00780724">
      <w:pPr>
        <w:pStyle w:val="Default"/>
        <w:rPr>
          <w:b/>
          <w:bCs/>
          <w:sz w:val="21"/>
          <w:szCs w:val="21"/>
        </w:rPr>
      </w:pPr>
    </w:p>
    <w:p w14:paraId="5F42CB5F" w14:textId="77777777" w:rsidR="00780724" w:rsidRPr="00ED3445" w:rsidRDefault="00780724" w:rsidP="00780724">
      <w:pPr>
        <w:pStyle w:val="Default"/>
        <w:rPr>
          <w:sz w:val="21"/>
          <w:szCs w:val="21"/>
        </w:rPr>
      </w:pPr>
      <w:r w:rsidRPr="00ED3445">
        <w:rPr>
          <w:b/>
          <w:bCs/>
          <w:sz w:val="21"/>
          <w:szCs w:val="21"/>
        </w:rPr>
        <w:t xml:space="preserve">BACKGROUND </w:t>
      </w:r>
    </w:p>
    <w:p w14:paraId="2080F366" w14:textId="77777777" w:rsidR="00780724" w:rsidRPr="00ED3445" w:rsidRDefault="00780724" w:rsidP="00780724">
      <w:pPr>
        <w:pStyle w:val="Default"/>
        <w:rPr>
          <w:sz w:val="21"/>
          <w:szCs w:val="21"/>
        </w:rPr>
      </w:pPr>
      <w:r w:rsidRPr="00ED3445">
        <w:rPr>
          <w:sz w:val="21"/>
          <w:szCs w:val="21"/>
        </w:rPr>
        <w:t xml:space="preserve">Pursuant to 49 Code of Federal Regulations Part 26 (49 CFR 26), the US Department of Transportation requires that recipients of federal funding assistance of at least $250,000.00 establish a Disadvantaged Business Enterprise (DBE) Program. The </w:t>
      </w:r>
      <w:r w:rsidR="00DF5922" w:rsidRPr="00ED3445">
        <w:rPr>
          <w:sz w:val="21"/>
          <w:szCs w:val="21"/>
        </w:rPr>
        <w:t>Estuary Transit District</w:t>
      </w:r>
      <w:r w:rsidRPr="00ED3445">
        <w:rPr>
          <w:sz w:val="21"/>
          <w:szCs w:val="21"/>
        </w:rPr>
        <w:t xml:space="preserve">, as a recipient of USDOT funding, intends to comply with this requirement and has developed this report to document our goal setting procedure. </w:t>
      </w:r>
    </w:p>
    <w:p w14:paraId="0E065B83" w14:textId="77777777" w:rsidR="00DF5922" w:rsidRPr="00ED3445" w:rsidRDefault="00DF5922" w:rsidP="00780724">
      <w:pPr>
        <w:pStyle w:val="Default"/>
        <w:rPr>
          <w:b/>
          <w:bCs/>
          <w:sz w:val="21"/>
          <w:szCs w:val="21"/>
        </w:rPr>
      </w:pPr>
    </w:p>
    <w:p w14:paraId="24F160B2" w14:textId="6E20B3DA" w:rsidR="00780724" w:rsidRPr="00ED3445" w:rsidRDefault="00DF5922" w:rsidP="00780724">
      <w:pPr>
        <w:pStyle w:val="Default"/>
        <w:rPr>
          <w:sz w:val="21"/>
          <w:szCs w:val="21"/>
        </w:rPr>
      </w:pPr>
      <w:r w:rsidRPr="00ED3445">
        <w:rPr>
          <w:b/>
          <w:bCs/>
          <w:sz w:val="21"/>
          <w:szCs w:val="21"/>
        </w:rPr>
        <w:t>PROPOSED GOAL FOR FY 20</w:t>
      </w:r>
      <w:r w:rsidR="009F1795" w:rsidRPr="00ED3445">
        <w:rPr>
          <w:b/>
          <w:bCs/>
          <w:sz w:val="21"/>
          <w:szCs w:val="21"/>
        </w:rPr>
        <w:t>2</w:t>
      </w:r>
      <w:r w:rsidR="00C5472D">
        <w:rPr>
          <w:b/>
          <w:bCs/>
          <w:sz w:val="21"/>
          <w:szCs w:val="21"/>
        </w:rPr>
        <w:t>4</w:t>
      </w:r>
      <w:r w:rsidR="00780724" w:rsidRPr="00ED3445">
        <w:rPr>
          <w:b/>
          <w:bCs/>
          <w:sz w:val="21"/>
          <w:szCs w:val="21"/>
        </w:rPr>
        <w:t xml:space="preserve"> through 20</w:t>
      </w:r>
      <w:r w:rsidRPr="00ED3445">
        <w:rPr>
          <w:b/>
          <w:bCs/>
          <w:sz w:val="21"/>
          <w:szCs w:val="21"/>
        </w:rPr>
        <w:t>2</w:t>
      </w:r>
      <w:r w:rsidR="00C5472D">
        <w:rPr>
          <w:b/>
          <w:bCs/>
          <w:sz w:val="21"/>
          <w:szCs w:val="21"/>
        </w:rPr>
        <w:t>6</w:t>
      </w:r>
    </w:p>
    <w:p w14:paraId="5B1757AA" w14:textId="760588BC" w:rsidR="00780724" w:rsidRPr="00ED3445" w:rsidRDefault="00780724" w:rsidP="00780724">
      <w:pPr>
        <w:pStyle w:val="Default"/>
        <w:rPr>
          <w:sz w:val="21"/>
          <w:szCs w:val="21"/>
        </w:rPr>
      </w:pPr>
      <w:r w:rsidRPr="00ED3445">
        <w:rPr>
          <w:sz w:val="21"/>
          <w:szCs w:val="21"/>
        </w:rPr>
        <w:t>The District has established an overall goal of DBE participation for FY 20</w:t>
      </w:r>
      <w:r w:rsidR="009F07B3" w:rsidRPr="00ED3445">
        <w:rPr>
          <w:sz w:val="21"/>
          <w:szCs w:val="21"/>
        </w:rPr>
        <w:t>2</w:t>
      </w:r>
      <w:r w:rsidR="00C5472D">
        <w:rPr>
          <w:sz w:val="21"/>
          <w:szCs w:val="21"/>
        </w:rPr>
        <w:t>4</w:t>
      </w:r>
      <w:r w:rsidRPr="00ED3445">
        <w:rPr>
          <w:sz w:val="21"/>
          <w:szCs w:val="21"/>
        </w:rPr>
        <w:t xml:space="preserve"> through FY</w:t>
      </w:r>
      <w:r w:rsidR="00DF5922" w:rsidRPr="00ED3445">
        <w:rPr>
          <w:sz w:val="21"/>
          <w:szCs w:val="21"/>
        </w:rPr>
        <w:t xml:space="preserve"> 202</w:t>
      </w:r>
      <w:r w:rsidR="00C5472D">
        <w:rPr>
          <w:sz w:val="21"/>
          <w:szCs w:val="21"/>
        </w:rPr>
        <w:t>6</w:t>
      </w:r>
      <w:r w:rsidRPr="00ED3445">
        <w:rPr>
          <w:sz w:val="21"/>
          <w:szCs w:val="21"/>
        </w:rPr>
        <w:t xml:space="preserve"> on U.S. Department of Transportation (USDOT) Federal Transit Administration assisted contracts. The projects that the District expects to receive USDOT funding and that ha</w:t>
      </w:r>
      <w:r w:rsidR="00DF5922" w:rsidRPr="00ED3445">
        <w:rPr>
          <w:sz w:val="21"/>
          <w:szCs w:val="21"/>
        </w:rPr>
        <w:t>ve a DBE contracting opportunities</w:t>
      </w:r>
      <w:r w:rsidRPr="00ED3445">
        <w:rPr>
          <w:sz w:val="21"/>
          <w:szCs w:val="21"/>
        </w:rPr>
        <w:t xml:space="preserve"> during the next three fiscal years</w:t>
      </w:r>
      <w:r w:rsidR="00DF5922" w:rsidRPr="00ED3445">
        <w:rPr>
          <w:sz w:val="21"/>
          <w:szCs w:val="21"/>
        </w:rPr>
        <w:t>, excluding buses,</w:t>
      </w:r>
      <w:r w:rsidRPr="00ED3445">
        <w:rPr>
          <w:sz w:val="21"/>
          <w:szCs w:val="21"/>
        </w:rPr>
        <w:t xml:space="preserve"> account for approximately $</w:t>
      </w:r>
      <w:r w:rsidR="00F8340E">
        <w:rPr>
          <w:sz w:val="21"/>
          <w:szCs w:val="21"/>
        </w:rPr>
        <w:t>608,000</w:t>
      </w:r>
      <w:r w:rsidRPr="00ED3445">
        <w:rPr>
          <w:sz w:val="21"/>
          <w:szCs w:val="21"/>
        </w:rPr>
        <w:t xml:space="preserve"> of which </w:t>
      </w:r>
      <w:r w:rsidR="007E2DC4">
        <w:rPr>
          <w:sz w:val="21"/>
          <w:szCs w:val="21"/>
        </w:rPr>
        <w:t>$</w:t>
      </w:r>
      <w:r w:rsidR="007D4B21">
        <w:rPr>
          <w:sz w:val="21"/>
          <w:szCs w:val="21"/>
        </w:rPr>
        <w:t>1</w:t>
      </w:r>
      <w:r w:rsidR="006241A8">
        <w:rPr>
          <w:sz w:val="21"/>
          <w:szCs w:val="21"/>
        </w:rPr>
        <w:t>0,</w:t>
      </w:r>
      <w:r w:rsidR="00E36773">
        <w:rPr>
          <w:sz w:val="21"/>
          <w:szCs w:val="21"/>
        </w:rPr>
        <w:t xml:space="preserve">674.35 </w:t>
      </w:r>
      <w:r w:rsidRPr="00ED3445">
        <w:rPr>
          <w:sz w:val="21"/>
          <w:szCs w:val="21"/>
        </w:rPr>
        <w:t xml:space="preserve">is projected for DBE participation, for an annual goal of </w:t>
      </w:r>
      <w:r w:rsidR="00EA514B" w:rsidRPr="00EA514B">
        <w:rPr>
          <w:sz w:val="21"/>
          <w:szCs w:val="21"/>
        </w:rPr>
        <w:t>1.76</w:t>
      </w:r>
      <w:r w:rsidR="00646B6F" w:rsidRPr="00EA514B">
        <w:rPr>
          <w:sz w:val="21"/>
          <w:szCs w:val="21"/>
        </w:rPr>
        <w:t xml:space="preserve"> </w:t>
      </w:r>
      <w:r w:rsidRPr="00EA514B">
        <w:rPr>
          <w:sz w:val="21"/>
          <w:szCs w:val="21"/>
        </w:rPr>
        <w:t>%.</w:t>
      </w:r>
      <w:r w:rsidRPr="00ED3445">
        <w:rPr>
          <w:sz w:val="21"/>
          <w:szCs w:val="21"/>
        </w:rPr>
        <w:t xml:space="preserve"> </w:t>
      </w:r>
    </w:p>
    <w:p w14:paraId="298B0E25" w14:textId="77777777" w:rsidR="00DF5922" w:rsidRPr="00ED3445" w:rsidRDefault="00DF5922" w:rsidP="00780724">
      <w:pPr>
        <w:pStyle w:val="Default"/>
        <w:rPr>
          <w:b/>
          <w:bCs/>
          <w:sz w:val="21"/>
          <w:szCs w:val="21"/>
        </w:rPr>
      </w:pPr>
    </w:p>
    <w:p w14:paraId="56AA5ECE" w14:textId="77777777" w:rsidR="00780724" w:rsidRPr="00ED3445" w:rsidRDefault="00780724" w:rsidP="00780724">
      <w:pPr>
        <w:pStyle w:val="Default"/>
        <w:rPr>
          <w:sz w:val="21"/>
          <w:szCs w:val="21"/>
        </w:rPr>
      </w:pPr>
      <w:r w:rsidRPr="00ED3445">
        <w:rPr>
          <w:b/>
          <w:bCs/>
          <w:sz w:val="21"/>
          <w:szCs w:val="21"/>
        </w:rPr>
        <w:t xml:space="preserve">METHODOLOGY </w:t>
      </w:r>
    </w:p>
    <w:p w14:paraId="6103FBF8" w14:textId="77777777" w:rsidR="00DF5922" w:rsidRPr="00ED3445" w:rsidRDefault="00DF5922" w:rsidP="00780724">
      <w:pPr>
        <w:pStyle w:val="Default"/>
        <w:rPr>
          <w:b/>
          <w:bCs/>
          <w:sz w:val="21"/>
          <w:szCs w:val="21"/>
        </w:rPr>
      </w:pPr>
    </w:p>
    <w:p w14:paraId="70E651F3" w14:textId="77777777" w:rsidR="00780724" w:rsidRPr="00ED3445" w:rsidRDefault="00780724" w:rsidP="00780724">
      <w:pPr>
        <w:pStyle w:val="Default"/>
        <w:rPr>
          <w:sz w:val="21"/>
          <w:szCs w:val="21"/>
        </w:rPr>
      </w:pPr>
      <w:r w:rsidRPr="00ED3445">
        <w:rPr>
          <w:b/>
          <w:bCs/>
          <w:sz w:val="21"/>
          <w:szCs w:val="21"/>
        </w:rPr>
        <w:t xml:space="preserve">STEP 1 </w:t>
      </w:r>
    </w:p>
    <w:p w14:paraId="4EE2D6F4" w14:textId="77777777" w:rsidR="00780724" w:rsidRPr="00ED3445" w:rsidRDefault="00780724" w:rsidP="00780724">
      <w:pPr>
        <w:pStyle w:val="Default"/>
        <w:rPr>
          <w:sz w:val="21"/>
          <w:szCs w:val="21"/>
        </w:rPr>
      </w:pPr>
      <w:r w:rsidRPr="00ED3445">
        <w:rPr>
          <w:b/>
          <w:bCs/>
          <w:sz w:val="21"/>
          <w:szCs w:val="21"/>
        </w:rPr>
        <w:t xml:space="preserve">BASE FIGURE DETERMINATION </w:t>
      </w:r>
    </w:p>
    <w:p w14:paraId="6F5D3C42" w14:textId="250C2F15" w:rsidR="00780724" w:rsidRPr="00ED3445" w:rsidRDefault="00780724" w:rsidP="00780724">
      <w:pPr>
        <w:pStyle w:val="Default"/>
        <w:rPr>
          <w:sz w:val="21"/>
          <w:szCs w:val="21"/>
        </w:rPr>
      </w:pPr>
      <w:r w:rsidRPr="00ED3445">
        <w:rPr>
          <w:sz w:val="21"/>
          <w:szCs w:val="21"/>
        </w:rPr>
        <w:t xml:space="preserve">The base figure is intended to be a measurement of the current percentage of businesses that are DBEs. </w:t>
      </w:r>
      <w:proofErr w:type="gramStart"/>
      <w:r w:rsidRPr="00ED3445">
        <w:rPr>
          <w:sz w:val="21"/>
          <w:szCs w:val="21"/>
        </w:rPr>
        <w:t>In order to</w:t>
      </w:r>
      <w:proofErr w:type="gramEnd"/>
      <w:r w:rsidRPr="00ED3445">
        <w:rPr>
          <w:sz w:val="21"/>
          <w:szCs w:val="21"/>
        </w:rPr>
        <w:t xml:space="preserve"> ensure that this figure is based on demonstrable evidence of the relevant market conditions, the number of DBEs that are ready, willing and able to compete for </w:t>
      </w:r>
      <w:r w:rsidR="000D461A" w:rsidRPr="00ED3445">
        <w:rPr>
          <w:sz w:val="21"/>
          <w:szCs w:val="21"/>
        </w:rPr>
        <w:t>federally assisted</w:t>
      </w:r>
      <w:r w:rsidRPr="00ED3445">
        <w:rPr>
          <w:sz w:val="21"/>
          <w:szCs w:val="21"/>
        </w:rPr>
        <w:t xml:space="preserve"> projects have been identified and divided by all firms that are also considered ready, willing, and able to bid for the types of work contemplated to be funded this year. This calculation is based upon the type of work that the District will undertake over the next three fiscal years. </w:t>
      </w:r>
    </w:p>
    <w:p w14:paraId="66DDA636" w14:textId="77777777" w:rsidR="00DF5922" w:rsidRPr="00ED3445" w:rsidRDefault="00DF5922" w:rsidP="00780724">
      <w:pPr>
        <w:pStyle w:val="Default"/>
        <w:rPr>
          <w:b/>
          <w:bCs/>
          <w:sz w:val="21"/>
          <w:szCs w:val="21"/>
        </w:rPr>
      </w:pPr>
    </w:p>
    <w:p w14:paraId="603E57BB" w14:textId="77777777" w:rsidR="00780724" w:rsidRPr="00ED3445" w:rsidRDefault="00780724" w:rsidP="00780724">
      <w:pPr>
        <w:pStyle w:val="Default"/>
        <w:rPr>
          <w:sz w:val="21"/>
          <w:szCs w:val="21"/>
        </w:rPr>
      </w:pPr>
      <w:r w:rsidRPr="00ED3445">
        <w:rPr>
          <w:b/>
          <w:bCs/>
          <w:sz w:val="21"/>
          <w:szCs w:val="21"/>
        </w:rPr>
        <w:t xml:space="preserve">LOCAL MARKET AREA </w:t>
      </w:r>
    </w:p>
    <w:p w14:paraId="52B89346" w14:textId="77777777" w:rsidR="00780724" w:rsidRPr="00ED3445" w:rsidRDefault="00780724" w:rsidP="00780724">
      <w:pPr>
        <w:pStyle w:val="Default"/>
        <w:rPr>
          <w:sz w:val="21"/>
          <w:szCs w:val="21"/>
        </w:rPr>
      </w:pPr>
      <w:r w:rsidRPr="00ED3445">
        <w:rPr>
          <w:sz w:val="21"/>
          <w:szCs w:val="21"/>
        </w:rPr>
        <w:t xml:space="preserve">A </w:t>
      </w:r>
      <w:r w:rsidR="00DF5922" w:rsidRPr="00ED3445">
        <w:rPr>
          <w:sz w:val="21"/>
          <w:szCs w:val="21"/>
        </w:rPr>
        <w:t xml:space="preserve">Local </w:t>
      </w:r>
      <w:r w:rsidRPr="00ED3445">
        <w:rPr>
          <w:sz w:val="21"/>
          <w:szCs w:val="21"/>
        </w:rPr>
        <w:t xml:space="preserve">Market Area is based on two factors: where </w:t>
      </w:r>
      <w:proofErr w:type="gramStart"/>
      <w:r w:rsidRPr="00ED3445">
        <w:rPr>
          <w:sz w:val="21"/>
          <w:szCs w:val="21"/>
        </w:rPr>
        <w:t>the majority of</w:t>
      </w:r>
      <w:proofErr w:type="gramEnd"/>
      <w:r w:rsidRPr="00ED3445">
        <w:rPr>
          <w:sz w:val="21"/>
          <w:szCs w:val="21"/>
        </w:rPr>
        <w:t xml:space="preserve"> all firms (DBE contractors/subcontractors and the non-DBE contractors/subcontractors) are located with whom the District does business, and where the majority of the contracting dollars are spent by the District on FTA assisted projects. </w:t>
      </w:r>
    </w:p>
    <w:p w14:paraId="0DF6C551" w14:textId="77777777" w:rsidR="00DF5922" w:rsidRPr="00ED3445" w:rsidRDefault="00DF5922" w:rsidP="00780724">
      <w:pPr>
        <w:pStyle w:val="Default"/>
        <w:rPr>
          <w:sz w:val="21"/>
          <w:szCs w:val="21"/>
        </w:rPr>
      </w:pPr>
    </w:p>
    <w:p w14:paraId="4EFC6295" w14:textId="77777777" w:rsidR="00780724" w:rsidRPr="00ED3445" w:rsidRDefault="00780724" w:rsidP="00780724">
      <w:pPr>
        <w:pStyle w:val="Default"/>
        <w:rPr>
          <w:sz w:val="21"/>
          <w:szCs w:val="21"/>
        </w:rPr>
      </w:pPr>
      <w:r w:rsidRPr="00ED3445">
        <w:rPr>
          <w:sz w:val="21"/>
          <w:szCs w:val="21"/>
        </w:rPr>
        <w:t xml:space="preserve">For purposes of this methodology, the State of Connecticut is the location of </w:t>
      </w:r>
      <w:proofErr w:type="gramStart"/>
      <w:r w:rsidRPr="00ED3445">
        <w:rPr>
          <w:sz w:val="21"/>
          <w:szCs w:val="21"/>
        </w:rPr>
        <w:t>the majority of</w:t>
      </w:r>
      <w:proofErr w:type="gramEnd"/>
      <w:r w:rsidRPr="00ED3445">
        <w:rPr>
          <w:sz w:val="21"/>
          <w:szCs w:val="21"/>
        </w:rPr>
        <w:t xml:space="preserve"> firms with which the District does business, and where the majority of contracting dollars are spent. </w:t>
      </w:r>
      <w:r w:rsidR="0003007B" w:rsidRPr="00ED3445">
        <w:rPr>
          <w:sz w:val="21"/>
          <w:szCs w:val="21"/>
        </w:rPr>
        <w:t>The small geography of the state makes is possible for a business to serve any part of the state.</w:t>
      </w:r>
    </w:p>
    <w:p w14:paraId="435EC3C6" w14:textId="77777777" w:rsidR="00DF5922" w:rsidRPr="00ED3445" w:rsidRDefault="00DF5922" w:rsidP="00780724">
      <w:pPr>
        <w:pStyle w:val="Default"/>
        <w:rPr>
          <w:sz w:val="21"/>
          <w:szCs w:val="21"/>
        </w:rPr>
      </w:pPr>
    </w:p>
    <w:p w14:paraId="25894E03" w14:textId="77777777" w:rsidR="0003007B" w:rsidRPr="00ED3445" w:rsidRDefault="00780724" w:rsidP="0003007B">
      <w:pPr>
        <w:pStyle w:val="Default"/>
        <w:rPr>
          <w:sz w:val="21"/>
          <w:szCs w:val="21"/>
        </w:rPr>
      </w:pPr>
      <w:r w:rsidRPr="00ED3445">
        <w:rPr>
          <w:sz w:val="21"/>
          <w:szCs w:val="21"/>
        </w:rPr>
        <w:t>In terms of current certification in the State’s DBE directory, DBE firm certification is achieved under the State of Connecticut Department of Transportation (Conn DOT) Unified Certification Program. The firms certified in the Conn DOT directory are a representation of actual availability of DBE and DBE-eligible fir</w:t>
      </w:r>
      <w:r w:rsidR="00D70EDC" w:rsidRPr="00ED3445">
        <w:rPr>
          <w:sz w:val="21"/>
          <w:szCs w:val="21"/>
        </w:rPr>
        <w:t xml:space="preserve">ms in the </w:t>
      </w:r>
      <w:r w:rsidR="00DF5922" w:rsidRPr="00ED3445">
        <w:rPr>
          <w:sz w:val="21"/>
          <w:szCs w:val="21"/>
        </w:rPr>
        <w:t>local</w:t>
      </w:r>
      <w:r w:rsidR="00D70EDC" w:rsidRPr="00ED3445">
        <w:rPr>
          <w:sz w:val="21"/>
          <w:szCs w:val="21"/>
        </w:rPr>
        <w:t xml:space="preserve"> market area. </w:t>
      </w:r>
    </w:p>
    <w:p w14:paraId="1F827CB8" w14:textId="7F317EBE" w:rsidR="0003007B" w:rsidRDefault="0003007B" w:rsidP="0003007B">
      <w:pPr>
        <w:pStyle w:val="Default"/>
        <w:rPr>
          <w:sz w:val="21"/>
          <w:szCs w:val="21"/>
        </w:rPr>
      </w:pPr>
    </w:p>
    <w:p w14:paraId="28D83E07" w14:textId="77777777" w:rsidR="00ED3445" w:rsidRPr="00ED3445" w:rsidRDefault="00ED3445" w:rsidP="0003007B">
      <w:pPr>
        <w:pStyle w:val="Default"/>
        <w:rPr>
          <w:sz w:val="21"/>
          <w:szCs w:val="21"/>
        </w:rPr>
      </w:pPr>
    </w:p>
    <w:p w14:paraId="6BF75816" w14:textId="03A61909" w:rsidR="00780724" w:rsidRPr="00ED3445" w:rsidRDefault="00D70EDC" w:rsidP="0003007B">
      <w:pPr>
        <w:pStyle w:val="Default"/>
        <w:rPr>
          <w:rFonts w:cstheme="minorBidi"/>
          <w:color w:val="auto"/>
          <w:sz w:val="21"/>
          <w:szCs w:val="21"/>
        </w:rPr>
      </w:pPr>
      <w:r w:rsidRPr="00ED3445">
        <w:rPr>
          <w:rFonts w:cstheme="minorBidi"/>
          <w:b/>
          <w:bCs/>
          <w:color w:val="auto"/>
          <w:sz w:val="21"/>
          <w:szCs w:val="21"/>
        </w:rPr>
        <w:lastRenderedPageBreak/>
        <w:t>D</w:t>
      </w:r>
      <w:r w:rsidR="0003007B" w:rsidRPr="00ED3445">
        <w:rPr>
          <w:rFonts w:cstheme="minorBidi"/>
          <w:b/>
          <w:bCs/>
          <w:color w:val="auto"/>
          <w:sz w:val="21"/>
          <w:szCs w:val="21"/>
        </w:rPr>
        <w:t>ISTRICT’S FISCAL YEAR 20</w:t>
      </w:r>
      <w:r w:rsidR="00BF5D0F" w:rsidRPr="00ED3445">
        <w:rPr>
          <w:rFonts w:cstheme="minorBidi"/>
          <w:b/>
          <w:bCs/>
          <w:color w:val="auto"/>
          <w:sz w:val="21"/>
          <w:szCs w:val="21"/>
        </w:rPr>
        <w:t>2</w:t>
      </w:r>
      <w:r w:rsidR="005D2EE3">
        <w:rPr>
          <w:rFonts w:cstheme="minorBidi"/>
          <w:b/>
          <w:bCs/>
          <w:color w:val="auto"/>
          <w:sz w:val="21"/>
          <w:szCs w:val="21"/>
        </w:rPr>
        <w:t>4</w:t>
      </w:r>
      <w:r w:rsidR="00780724" w:rsidRPr="00ED3445">
        <w:rPr>
          <w:rFonts w:cstheme="minorBidi"/>
          <w:b/>
          <w:bCs/>
          <w:color w:val="auto"/>
          <w:sz w:val="21"/>
          <w:szCs w:val="21"/>
        </w:rPr>
        <w:t>, 20</w:t>
      </w:r>
      <w:r w:rsidR="00BF5D0F" w:rsidRPr="00ED3445">
        <w:rPr>
          <w:rFonts w:cstheme="minorBidi"/>
          <w:b/>
          <w:bCs/>
          <w:color w:val="auto"/>
          <w:sz w:val="21"/>
          <w:szCs w:val="21"/>
        </w:rPr>
        <w:t>2</w:t>
      </w:r>
      <w:r w:rsidR="005D2EE3">
        <w:rPr>
          <w:rFonts w:cstheme="minorBidi"/>
          <w:b/>
          <w:bCs/>
          <w:color w:val="auto"/>
          <w:sz w:val="21"/>
          <w:szCs w:val="21"/>
        </w:rPr>
        <w:t>5</w:t>
      </w:r>
      <w:r w:rsidR="00780724" w:rsidRPr="00ED3445">
        <w:rPr>
          <w:rFonts w:cstheme="minorBidi"/>
          <w:b/>
          <w:bCs/>
          <w:color w:val="auto"/>
          <w:sz w:val="21"/>
          <w:szCs w:val="21"/>
        </w:rPr>
        <w:t xml:space="preserve"> and 20</w:t>
      </w:r>
      <w:r w:rsidR="0003007B" w:rsidRPr="00ED3445">
        <w:rPr>
          <w:rFonts w:cstheme="minorBidi"/>
          <w:b/>
          <w:bCs/>
          <w:color w:val="auto"/>
          <w:sz w:val="21"/>
          <w:szCs w:val="21"/>
        </w:rPr>
        <w:t>2</w:t>
      </w:r>
      <w:r w:rsidR="005D2EE3">
        <w:rPr>
          <w:rFonts w:cstheme="minorBidi"/>
          <w:b/>
          <w:bCs/>
          <w:color w:val="auto"/>
          <w:sz w:val="21"/>
          <w:szCs w:val="21"/>
        </w:rPr>
        <w:t>6</w:t>
      </w:r>
      <w:r w:rsidR="00780724" w:rsidRPr="00ED3445">
        <w:rPr>
          <w:rFonts w:cstheme="minorBidi"/>
          <w:b/>
          <w:bCs/>
          <w:color w:val="auto"/>
          <w:sz w:val="21"/>
          <w:szCs w:val="21"/>
        </w:rPr>
        <w:t xml:space="preserve"> PROJECTS </w:t>
      </w:r>
    </w:p>
    <w:p w14:paraId="5F74467E" w14:textId="2718ECB2" w:rsidR="00735CC6" w:rsidRDefault="00780724" w:rsidP="00735CC6">
      <w:pPr>
        <w:pStyle w:val="Default"/>
        <w:rPr>
          <w:color w:val="auto"/>
          <w:sz w:val="21"/>
          <w:szCs w:val="21"/>
        </w:rPr>
      </w:pPr>
      <w:r w:rsidRPr="00ED3445">
        <w:rPr>
          <w:color w:val="auto"/>
          <w:sz w:val="21"/>
          <w:szCs w:val="21"/>
        </w:rPr>
        <w:t xml:space="preserve">The </w:t>
      </w:r>
      <w:r w:rsidR="00AB5FA3" w:rsidRPr="00ED3445">
        <w:rPr>
          <w:color w:val="auto"/>
          <w:sz w:val="21"/>
          <w:szCs w:val="21"/>
        </w:rPr>
        <w:t>District</w:t>
      </w:r>
      <w:r w:rsidRPr="00ED3445">
        <w:rPr>
          <w:color w:val="auto"/>
          <w:sz w:val="21"/>
          <w:szCs w:val="21"/>
        </w:rPr>
        <w:t xml:space="preserve"> identified all FTA assisted contracts for Fiscal Year 20</w:t>
      </w:r>
      <w:r w:rsidR="00DB450E" w:rsidRPr="00ED3445">
        <w:rPr>
          <w:color w:val="auto"/>
          <w:sz w:val="21"/>
          <w:szCs w:val="21"/>
        </w:rPr>
        <w:t>2</w:t>
      </w:r>
      <w:r w:rsidR="005D2EE3">
        <w:rPr>
          <w:color w:val="auto"/>
          <w:sz w:val="21"/>
          <w:szCs w:val="21"/>
        </w:rPr>
        <w:t>4</w:t>
      </w:r>
      <w:r w:rsidR="0003007B" w:rsidRPr="00ED3445">
        <w:rPr>
          <w:color w:val="auto"/>
          <w:sz w:val="21"/>
          <w:szCs w:val="21"/>
        </w:rPr>
        <w:t>- 202</w:t>
      </w:r>
      <w:r w:rsidR="005D2EE3">
        <w:rPr>
          <w:color w:val="auto"/>
          <w:sz w:val="21"/>
          <w:szCs w:val="21"/>
        </w:rPr>
        <w:t>6</w:t>
      </w:r>
      <w:r w:rsidRPr="00ED3445">
        <w:rPr>
          <w:color w:val="auto"/>
          <w:sz w:val="21"/>
          <w:szCs w:val="21"/>
        </w:rPr>
        <w:t xml:space="preserve">. They are listed </w:t>
      </w:r>
      <w:r w:rsidR="00F50ACA" w:rsidRPr="00ED3445">
        <w:rPr>
          <w:color w:val="auto"/>
          <w:sz w:val="21"/>
          <w:szCs w:val="21"/>
        </w:rPr>
        <w:t>below:</w:t>
      </w:r>
      <w:r w:rsidRPr="00ED3445">
        <w:rPr>
          <w:color w:val="auto"/>
          <w:sz w:val="21"/>
          <w:szCs w:val="21"/>
        </w:rPr>
        <w:t xml:space="preserve"> </w:t>
      </w:r>
    </w:p>
    <w:p w14:paraId="2965237C" w14:textId="77777777" w:rsidR="0016134C" w:rsidRPr="00ED3445" w:rsidRDefault="0016134C" w:rsidP="00735CC6">
      <w:pPr>
        <w:pStyle w:val="Default"/>
        <w:rPr>
          <w:color w:val="auto"/>
          <w:sz w:val="21"/>
          <w:szCs w:val="21"/>
        </w:rPr>
      </w:pPr>
    </w:p>
    <w:tbl>
      <w:tblPr>
        <w:tblW w:w="684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40"/>
        <w:gridCol w:w="1710"/>
        <w:gridCol w:w="1890"/>
      </w:tblGrid>
      <w:tr w:rsidR="00735CC6" w:rsidRPr="00ED3445" w14:paraId="7B162110"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14:paraId="0AC1347B" w14:textId="7FEB8609" w:rsidR="00735CC6" w:rsidRPr="00ED3445" w:rsidRDefault="00735CC6">
            <w:pPr>
              <w:spacing w:after="0" w:line="240" w:lineRule="auto"/>
              <w:rPr>
                <w:rFonts w:ascii="Calibri" w:eastAsia="Times New Roman" w:hAnsi="Calibri" w:cs="Times New Roman"/>
                <w:b/>
                <w:bCs/>
                <w:color w:val="000000"/>
                <w:sz w:val="21"/>
                <w:szCs w:val="21"/>
              </w:rPr>
            </w:pPr>
            <w:r w:rsidRPr="00ED3445">
              <w:rPr>
                <w:rFonts w:ascii="Calibri" w:eastAsia="Times New Roman" w:hAnsi="Calibri" w:cs="Times New Roman"/>
                <w:b/>
                <w:bCs/>
                <w:color w:val="000000"/>
                <w:sz w:val="21"/>
                <w:szCs w:val="21"/>
              </w:rPr>
              <w:t>FY 2</w:t>
            </w:r>
            <w:r w:rsidR="005D2EE3">
              <w:rPr>
                <w:rFonts w:ascii="Calibri" w:eastAsia="Times New Roman" w:hAnsi="Calibri" w:cs="Times New Roman"/>
                <w:b/>
                <w:bCs/>
                <w:color w:val="000000"/>
                <w:sz w:val="21"/>
                <w:szCs w:val="21"/>
              </w:rPr>
              <w:t>4</w:t>
            </w:r>
          </w:p>
        </w:tc>
        <w:tc>
          <w:tcPr>
            <w:tcW w:w="17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14:paraId="31070AF5" w14:textId="77777777" w:rsidR="00735CC6" w:rsidRPr="00ED3445" w:rsidRDefault="00735CC6">
            <w:pPr>
              <w:spacing w:after="0" w:line="240" w:lineRule="auto"/>
              <w:rPr>
                <w:rFonts w:ascii="Calibri" w:eastAsia="Times New Roman" w:hAnsi="Calibri" w:cs="Times New Roman"/>
                <w:b/>
                <w:bCs/>
                <w:color w:val="000000"/>
                <w:sz w:val="21"/>
                <w:szCs w:val="21"/>
              </w:rPr>
            </w:pPr>
            <w:r w:rsidRPr="00ED3445">
              <w:rPr>
                <w:rFonts w:ascii="Calibri" w:eastAsia="Times New Roman" w:hAnsi="Calibri" w:cs="Times New Roman"/>
                <w:b/>
                <w:bCs/>
                <w:color w:val="000000"/>
                <w:sz w:val="21"/>
                <w:szCs w:val="21"/>
              </w:rPr>
              <w:t>Total Cost</w:t>
            </w:r>
          </w:p>
        </w:tc>
        <w:tc>
          <w:tcPr>
            <w:tcW w:w="18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14:paraId="763C1C49" w14:textId="77777777" w:rsidR="00735CC6" w:rsidRPr="00ED3445" w:rsidRDefault="00735CC6">
            <w:pPr>
              <w:spacing w:after="0" w:line="240" w:lineRule="auto"/>
              <w:rPr>
                <w:rFonts w:ascii="Calibri" w:eastAsia="Times New Roman" w:hAnsi="Calibri" w:cs="Times New Roman"/>
                <w:b/>
                <w:bCs/>
                <w:color w:val="000000"/>
                <w:sz w:val="21"/>
                <w:szCs w:val="21"/>
              </w:rPr>
            </w:pPr>
            <w:r w:rsidRPr="00ED3445">
              <w:rPr>
                <w:rFonts w:ascii="Calibri" w:eastAsia="Times New Roman" w:hAnsi="Calibri" w:cs="Times New Roman"/>
                <w:b/>
                <w:bCs/>
                <w:color w:val="000000"/>
                <w:sz w:val="21"/>
                <w:szCs w:val="21"/>
              </w:rPr>
              <w:t>Federal Share</w:t>
            </w:r>
          </w:p>
        </w:tc>
      </w:tr>
      <w:tr w:rsidR="00D07FE7" w:rsidRPr="00ED3445" w14:paraId="07998456"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tcPr>
          <w:p w14:paraId="66625BFE" w14:textId="565D7D69" w:rsidR="00D07FE7" w:rsidRDefault="005F5B6D">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ADP Hardware </w:t>
            </w:r>
          </w:p>
        </w:tc>
        <w:tc>
          <w:tcPr>
            <w:tcW w:w="1710" w:type="dxa"/>
            <w:tcBorders>
              <w:top w:val="single" w:sz="12" w:space="0" w:color="auto"/>
              <w:left w:val="single" w:sz="12" w:space="0" w:color="auto"/>
              <w:bottom w:val="single" w:sz="12" w:space="0" w:color="auto"/>
              <w:right w:val="single" w:sz="12" w:space="0" w:color="auto"/>
            </w:tcBorders>
            <w:noWrap/>
            <w:vAlign w:val="bottom"/>
          </w:tcPr>
          <w:p w14:paraId="666FFA02" w14:textId="6B18C0A5" w:rsidR="00D07FE7" w:rsidRPr="00251693" w:rsidRDefault="00D07FE7">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534E91">
              <w:rPr>
                <w:rFonts w:ascii="Calibri" w:eastAsia="Times New Roman" w:hAnsi="Calibri" w:cs="Times New Roman"/>
                <w:color w:val="000000"/>
                <w:sz w:val="21"/>
                <w:szCs w:val="21"/>
              </w:rPr>
              <w:t>75,000.00</w:t>
            </w:r>
          </w:p>
        </w:tc>
        <w:tc>
          <w:tcPr>
            <w:tcW w:w="1890" w:type="dxa"/>
            <w:tcBorders>
              <w:top w:val="single" w:sz="12" w:space="0" w:color="auto"/>
              <w:left w:val="single" w:sz="12" w:space="0" w:color="auto"/>
              <w:bottom w:val="single" w:sz="12" w:space="0" w:color="auto"/>
              <w:right w:val="single" w:sz="12" w:space="0" w:color="auto"/>
            </w:tcBorders>
            <w:noWrap/>
            <w:vAlign w:val="bottom"/>
          </w:tcPr>
          <w:p w14:paraId="70D71DA7" w14:textId="6FEDB0AD" w:rsidR="00D07FE7" w:rsidRPr="00251693" w:rsidRDefault="00D863AB">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5D2EE3">
              <w:rPr>
                <w:rFonts w:ascii="Calibri" w:eastAsia="Times New Roman" w:hAnsi="Calibri" w:cs="Times New Roman"/>
                <w:color w:val="000000"/>
                <w:sz w:val="21"/>
                <w:szCs w:val="21"/>
              </w:rPr>
              <w:t>60,000.00</w:t>
            </w:r>
          </w:p>
        </w:tc>
      </w:tr>
      <w:tr w:rsidR="00D07FE7" w:rsidRPr="00ED3445" w14:paraId="0C40E28E"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tcPr>
          <w:p w14:paraId="0F2FDD7A" w14:textId="4A6FDB09" w:rsidR="00D07FE7" w:rsidRPr="004B06EF" w:rsidRDefault="00534E91">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Misc Support Equipment </w:t>
            </w:r>
          </w:p>
        </w:tc>
        <w:tc>
          <w:tcPr>
            <w:tcW w:w="1710" w:type="dxa"/>
            <w:tcBorders>
              <w:top w:val="single" w:sz="12" w:space="0" w:color="auto"/>
              <w:left w:val="single" w:sz="12" w:space="0" w:color="auto"/>
              <w:bottom w:val="single" w:sz="12" w:space="0" w:color="auto"/>
              <w:right w:val="single" w:sz="12" w:space="0" w:color="auto"/>
            </w:tcBorders>
            <w:noWrap/>
            <w:vAlign w:val="bottom"/>
          </w:tcPr>
          <w:p w14:paraId="3A504BFD" w14:textId="3E2909D6" w:rsidR="00D07FE7" w:rsidRPr="004B06EF" w:rsidRDefault="00D07FE7">
            <w:pPr>
              <w:spacing w:after="0" w:line="240" w:lineRule="auto"/>
              <w:rPr>
                <w:rFonts w:ascii="Calibri" w:eastAsia="Times New Roman" w:hAnsi="Calibri" w:cs="Times New Roman"/>
                <w:color w:val="000000"/>
                <w:sz w:val="21"/>
                <w:szCs w:val="21"/>
              </w:rPr>
            </w:pPr>
            <w:r w:rsidRPr="004B06EF">
              <w:rPr>
                <w:rFonts w:ascii="Calibri" w:eastAsia="Times New Roman" w:hAnsi="Calibri" w:cs="Times New Roman"/>
                <w:color w:val="000000"/>
                <w:sz w:val="21"/>
                <w:szCs w:val="21"/>
              </w:rPr>
              <w:t xml:space="preserve">$    </w:t>
            </w:r>
            <w:r w:rsidR="00534E91">
              <w:rPr>
                <w:rFonts w:ascii="Calibri" w:eastAsia="Times New Roman" w:hAnsi="Calibri" w:cs="Times New Roman"/>
                <w:color w:val="000000"/>
                <w:sz w:val="21"/>
                <w:szCs w:val="21"/>
              </w:rPr>
              <w:t>75</w:t>
            </w:r>
            <w:r w:rsidR="00637E6D">
              <w:rPr>
                <w:rFonts w:ascii="Calibri" w:eastAsia="Times New Roman" w:hAnsi="Calibri" w:cs="Times New Roman"/>
                <w:color w:val="000000"/>
                <w:sz w:val="21"/>
                <w:szCs w:val="21"/>
              </w:rPr>
              <w:t>,000.00</w:t>
            </w:r>
          </w:p>
        </w:tc>
        <w:tc>
          <w:tcPr>
            <w:tcW w:w="1890" w:type="dxa"/>
            <w:tcBorders>
              <w:top w:val="single" w:sz="12" w:space="0" w:color="auto"/>
              <w:left w:val="single" w:sz="12" w:space="0" w:color="auto"/>
              <w:bottom w:val="single" w:sz="12" w:space="0" w:color="auto"/>
              <w:right w:val="single" w:sz="12" w:space="0" w:color="auto"/>
            </w:tcBorders>
            <w:noWrap/>
            <w:vAlign w:val="bottom"/>
          </w:tcPr>
          <w:p w14:paraId="35800B5E" w14:textId="360AF11A" w:rsidR="00D07FE7" w:rsidRPr="004B06EF" w:rsidRDefault="00D863AB">
            <w:pPr>
              <w:spacing w:after="0" w:line="240" w:lineRule="auto"/>
              <w:rPr>
                <w:rFonts w:ascii="Calibri" w:eastAsia="Times New Roman" w:hAnsi="Calibri" w:cs="Times New Roman"/>
                <w:color w:val="000000"/>
                <w:sz w:val="21"/>
                <w:szCs w:val="21"/>
              </w:rPr>
            </w:pPr>
            <w:r w:rsidRPr="004B06EF">
              <w:rPr>
                <w:rFonts w:ascii="Calibri" w:eastAsia="Times New Roman" w:hAnsi="Calibri" w:cs="Times New Roman"/>
                <w:color w:val="000000"/>
                <w:sz w:val="21"/>
                <w:szCs w:val="21"/>
              </w:rPr>
              <w:t xml:space="preserve">$      </w:t>
            </w:r>
            <w:r w:rsidR="00CF5125">
              <w:rPr>
                <w:rFonts w:ascii="Calibri" w:eastAsia="Times New Roman" w:hAnsi="Calibri" w:cs="Times New Roman"/>
                <w:color w:val="000000"/>
                <w:sz w:val="21"/>
                <w:szCs w:val="21"/>
              </w:rPr>
              <w:t>60</w:t>
            </w:r>
            <w:r w:rsidR="000C5DEF" w:rsidRPr="004B06EF">
              <w:rPr>
                <w:rFonts w:ascii="Calibri" w:eastAsia="Times New Roman" w:hAnsi="Calibri" w:cs="Times New Roman"/>
                <w:color w:val="000000"/>
                <w:sz w:val="21"/>
                <w:szCs w:val="21"/>
              </w:rPr>
              <w:t>,000.00</w:t>
            </w:r>
          </w:p>
        </w:tc>
      </w:tr>
      <w:tr w:rsidR="00637E6D" w:rsidRPr="00ED3445" w14:paraId="3EDEAF58"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tcPr>
          <w:p w14:paraId="1EE0E62D" w14:textId="6B019AED" w:rsidR="00637E6D" w:rsidRDefault="00637E6D">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Support Vehicles </w:t>
            </w:r>
          </w:p>
        </w:tc>
        <w:tc>
          <w:tcPr>
            <w:tcW w:w="1710" w:type="dxa"/>
            <w:tcBorders>
              <w:top w:val="single" w:sz="12" w:space="0" w:color="auto"/>
              <w:left w:val="single" w:sz="12" w:space="0" w:color="auto"/>
              <w:bottom w:val="single" w:sz="12" w:space="0" w:color="auto"/>
              <w:right w:val="single" w:sz="12" w:space="0" w:color="auto"/>
            </w:tcBorders>
            <w:noWrap/>
            <w:vAlign w:val="bottom"/>
          </w:tcPr>
          <w:p w14:paraId="34EB0A3D" w14:textId="103C6D35" w:rsidR="00637E6D" w:rsidRPr="00251693" w:rsidRDefault="00637E6D">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135,000.00</w:t>
            </w:r>
          </w:p>
        </w:tc>
        <w:tc>
          <w:tcPr>
            <w:tcW w:w="1890" w:type="dxa"/>
            <w:tcBorders>
              <w:top w:val="single" w:sz="12" w:space="0" w:color="auto"/>
              <w:left w:val="single" w:sz="12" w:space="0" w:color="auto"/>
              <w:bottom w:val="single" w:sz="12" w:space="0" w:color="auto"/>
              <w:right w:val="single" w:sz="12" w:space="0" w:color="auto"/>
            </w:tcBorders>
            <w:noWrap/>
            <w:vAlign w:val="bottom"/>
          </w:tcPr>
          <w:p w14:paraId="37F4A159" w14:textId="4D741447" w:rsidR="00637E6D" w:rsidRPr="00251693" w:rsidRDefault="00637E6D">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108,000.00</w:t>
            </w:r>
          </w:p>
        </w:tc>
      </w:tr>
      <w:tr w:rsidR="00637E6D" w:rsidRPr="00ED3445" w14:paraId="0FF41B9E"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tcPr>
          <w:p w14:paraId="3A6472CE" w14:textId="5233E995" w:rsidR="00637E6D" w:rsidRDefault="00637E6D">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Preventive </w:t>
            </w:r>
            <w:r w:rsidRPr="00ED3445">
              <w:rPr>
                <w:rFonts w:ascii="Calibri" w:eastAsia="Times New Roman" w:hAnsi="Calibri" w:cs="Times New Roman"/>
                <w:color w:val="000000"/>
                <w:sz w:val="21"/>
                <w:szCs w:val="21"/>
              </w:rPr>
              <w:t>Maintenance</w:t>
            </w:r>
          </w:p>
        </w:tc>
        <w:tc>
          <w:tcPr>
            <w:tcW w:w="1710" w:type="dxa"/>
            <w:tcBorders>
              <w:top w:val="single" w:sz="12" w:space="0" w:color="auto"/>
              <w:left w:val="single" w:sz="12" w:space="0" w:color="auto"/>
              <w:bottom w:val="single" w:sz="12" w:space="0" w:color="auto"/>
              <w:right w:val="single" w:sz="12" w:space="0" w:color="auto"/>
            </w:tcBorders>
            <w:noWrap/>
            <w:vAlign w:val="bottom"/>
          </w:tcPr>
          <w:p w14:paraId="3A952838" w14:textId="5E607B33" w:rsidR="00637E6D" w:rsidRDefault="00637E6D">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50,000.00</w:t>
            </w:r>
          </w:p>
        </w:tc>
        <w:tc>
          <w:tcPr>
            <w:tcW w:w="1890" w:type="dxa"/>
            <w:tcBorders>
              <w:top w:val="single" w:sz="12" w:space="0" w:color="auto"/>
              <w:left w:val="single" w:sz="12" w:space="0" w:color="auto"/>
              <w:bottom w:val="single" w:sz="12" w:space="0" w:color="auto"/>
              <w:right w:val="single" w:sz="12" w:space="0" w:color="auto"/>
            </w:tcBorders>
            <w:noWrap/>
            <w:vAlign w:val="bottom"/>
          </w:tcPr>
          <w:p w14:paraId="0734CEF4" w14:textId="690ACDFF" w:rsidR="00637E6D" w:rsidRDefault="00637E6D">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40,000.00</w:t>
            </w:r>
          </w:p>
        </w:tc>
      </w:tr>
      <w:tr w:rsidR="00735CC6" w:rsidRPr="00ED3445" w14:paraId="107EF1AD" w14:textId="77777777" w:rsidTr="0016134C">
        <w:trPr>
          <w:trHeight w:val="105"/>
        </w:trPr>
        <w:tc>
          <w:tcPr>
            <w:tcW w:w="32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14:paraId="07CD0B65" w14:textId="7B2CCD75" w:rsidR="00735CC6" w:rsidRPr="00251693" w:rsidRDefault="00735CC6">
            <w:pPr>
              <w:spacing w:after="0" w:line="240" w:lineRule="auto"/>
              <w:rPr>
                <w:rFonts w:ascii="Calibri" w:eastAsia="Times New Roman" w:hAnsi="Calibri" w:cs="Times New Roman"/>
                <w:b/>
                <w:bCs/>
                <w:color w:val="000000"/>
                <w:sz w:val="21"/>
                <w:szCs w:val="21"/>
              </w:rPr>
            </w:pPr>
            <w:r w:rsidRPr="00251693">
              <w:rPr>
                <w:rFonts w:ascii="Calibri" w:eastAsia="Times New Roman" w:hAnsi="Calibri" w:cs="Times New Roman"/>
                <w:b/>
                <w:bCs/>
                <w:color w:val="000000"/>
                <w:sz w:val="21"/>
                <w:szCs w:val="21"/>
              </w:rPr>
              <w:t>FY 2</w:t>
            </w:r>
            <w:r w:rsidR="00637E6D">
              <w:rPr>
                <w:rFonts w:ascii="Calibri" w:eastAsia="Times New Roman" w:hAnsi="Calibri" w:cs="Times New Roman"/>
                <w:b/>
                <w:bCs/>
                <w:color w:val="000000"/>
                <w:sz w:val="21"/>
                <w:szCs w:val="21"/>
              </w:rPr>
              <w:t>5</w:t>
            </w:r>
          </w:p>
        </w:tc>
        <w:tc>
          <w:tcPr>
            <w:tcW w:w="17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14:paraId="603AC402" w14:textId="77777777" w:rsidR="00735CC6" w:rsidRPr="00251693" w:rsidRDefault="00735CC6">
            <w:pPr>
              <w:spacing w:line="256" w:lineRule="auto"/>
              <w:rPr>
                <w:rFonts w:ascii="Calibri" w:eastAsia="Times New Roman" w:hAnsi="Calibri" w:cs="Times New Roman"/>
                <w:b/>
                <w:bCs/>
                <w:color w:val="000000"/>
                <w:sz w:val="21"/>
                <w:szCs w:val="21"/>
              </w:rPr>
            </w:pPr>
          </w:p>
        </w:tc>
        <w:tc>
          <w:tcPr>
            <w:tcW w:w="18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14:paraId="497E61E9" w14:textId="77777777" w:rsidR="00735CC6" w:rsidRPr="00251693" w:rsidRDefault="00735CC6">
            <w:pPr>
              <w:spacing w:after="0" w:line="256" w:lineRule="auto"/>
              <w:rPr>
                <w:rFonts w:ascii="Calibri" w:eastAsia="Calibri" w:hAnsi="Calibri" w:cs="Times New Roman"/>
                <w:sz w:val="21"/>
                <w:szCs w:val="21"/>
              </w:rPr>
            </w:pPr>
          </w:p>
        </w:tc>
      </w:tr>
      <w:tr w:rsidR="00782481" w:rsidRPr="00ED3445" w14:paraId="7887437D"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tcPr>
          <w:p w14:paraId="10A1ED3D" w14:textId="57CFC368" w:rsidR="00782481" w:rsidRPr="00251693" w:rsidRDefault="00534E91">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Bus Stop improvement </w:t>
            </w:r>
            <w:r w:rsidR="00594F7C">
              <w:rPr>
                <w:rFonts w:ascii="Calibri" w:eastAsia="Times New Roman" w:hAnsi="Calibri" w:cs="Times New Roman"/>
                <w:color w:val="000000"/>
                <w:sz w:val="21"/>
                <w:szCs w:val="21"/>
              </w:rPr>
              <w:t xml:space="preserve"> </w:t>
            </w:r>
          </w:p>
        </w:tc>
        <w:tc>
          <w:tcPr>
            <w:tcW w:w="1710" w:type="dxa"/>
            <w:tcBorders>
              <w:top w:val="single" w:sz="12" w:space="0" w:color="auto"/>
              <w:left w:val="single" w:sz="12" w:space="0" w:color="auto"/>
              <w:bottom w:val="single" w:sz="12" w:space="0" w:color="auto"/>
              <w:right w:val="single" w:sz="12" w:space="0" w:color="auto"/>
            </w:tcBorders>
            <w:noWrap/>
            <w:vAlign w:val="bottom"/>
          </w:tcPr>
          <w:p w14:paraId="2F1706D1" w14:textId="18F8E156" w:rsidR="00782481" w:rsidRPr="00251693" w:rsidRDefault="00782481">
            <w:pPr>
              <w:spacing w:after="0" w:line="240" w:lineRule="auto"/>
              <w:rPr>
                <w:rFonts w:ascii="Calibri" w:eastAsia="Times New Roman" w:hAnsi="Calibri" w:cs="Times New Roman"/>
                <w:color w:val="000000"/>
                <w:sz w:val="21"/>
                <w:szCs w:val="21"/>
              </w:rPr>
            </w:pPr>
            <w:r w:rsidRPr="00251693">
              <w:rPr>
                <w:rFonts w:ascii="Calibri" w:eastAsia="Times New Roman" w:hAnsi="Calibri" w:cs="Times New Roman"/>
                <w:color w:val="000000"/>
                <w:sz w:val="21"/>
                <w:szCs w:val="21"/>
              </w:rPr>
              <w:t xml:space="preserve">$    </w:t>
            </w:r>
            <w:r w:rsidR="00CF5125">
              <w:rPr>
                <w:rFonts w:ascii="Calibri" w:eastAsia="Times New Roman" w:hAnsi="Calibri" w:cs="Times New Roman"/>
                <w:color w:val="000000"/>
                <w:sz w:val="21"/>
                <w:szCs w:val="21"/>
              </w:rPr>
              <w:t>30,000</w:t>
            </w:r>
          </w:p>
        </w:tc>
        <w:tc>
          <w:tcPr>
            <w:tcW w:w="1890" w:type="dxa"/>
            <w:tcBorders>
              <w:top w:val="single" w:sz="12" w:space="0" w:color="auto"/>
              <w:left w:val="single" w:sz="12" w:space="0" w:color="auto"/>
              <w:bottom w:val="single" w:sz="12" w:space="0" w:color="auto"/>
              <w:right w:val="single" w:sz="12" w:space="0" w:color="auto"/>
            </w:tcBorders>
            <w:noWrap/>
            <w:vAlign w:val="bottom"/>
          </w:tcPr>
          <w:p w14:paraId="216D489C" w14:textId="5B63CA92" w:rsidR="00782481" w:rsidRPr="00251693" w:rsidRDefault="00251693">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8B28A1">
              <w:rPr>
                <w:rFonts w:ascii="Calibri" w:eastAsia="Times New Roman" w:hAnsi="Calibri" w:cs="Times New Roman"/>
                <w:color w:val="000000"/>
                <w:sz w:val="21"/>
                <w:szCs w:val="21"/>
              </w:rPr>
              <w:t xml:space="preserve"> </w:t>
            </w:r>
            <w:r w:rsidR="008F6F8F">
              <w:rPr>
                <w:rFonts w:ascii="Calibri" w:eastAsia="Times New Roman" w:hAnsi="Calibri" w:cs="Times New Roman"/>
                <w:color w:val="000000"/>
                <w:sz w:val="21"/>
                <w:szCs w:val="21"/>
              </w:rPr>
              <w:t>24</w:t>
            </w:r>
            <w:r w:rsidR="008B28A1">
              <w:rPr>
                <w:rFonts w:ascii="Calibri" w:eastAsia="Times New Roman" w:hAnsi="Calibri" w:cs="Times New Roman"/>
                <w:color w:val="000000"/>
                <w:sz w:val="21"/>
                <w:szCs w:val="21"/>
              </w:rPr>
              <w:t>,000.00</w:t>
            </w:r>
          </w:p>
        </w:tc>
      </w:tr>
      <w:tr w:rsidR="00CF5125" w:rsidRPr="00ED3445" w14:paraId="4532EB14"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tcPr>
          <w:p w14:paraId="38C3EECA" w14:textId="1808F542" w:rsidR="00CF5125" w:rsidRPr="00251693" w:rsidRDefault="00CF5125">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M</w:t>
            </w:r>
            <w:r w:rsidR="00392986">
              <w:rPr>
                <w:rFonts w:ascii="Calibri" w:eastAsia="Times New Roman" w:hAnsi="Calibri" w:cs="Times New Roman"/>
                <w:color w:val="000000"/>
                <w:sz w:val="21"/>
                <w:szCs w:val="21"/>
              </w:rPr>
              <w:t>i</w:t>
            </w:r>
            <w:r>
              <w:rPr>
                <w:rFonts w:ascii="Calibri" w:eastAsia="Times New Roman" w:hAnsi="Calibri" w:cs="Times New Roman"/>
                <w:color w:val="000000"/>
                <w:sz w:val="21"/>
                <w:szCs w:val="21"/>
              </w:rPr>
              <w:t xml:space="preserve">sc Support Equipment </w:t>
            </w:r>
          </w:p>
        </w:tc>
        <w:tc>
          <w:tcPr>
            <w:tcW w:w="1710" w:type="dxa"/>
            <w:tcBorders>
              <w:top w:val="single" w:sz="12" w:space="0" w:color="auto"/>
              <w:left w:val="single" w:sz="12" w:space="0" w:color="auto"/>
              <w:bottom w:val="single" w:sz="12" w:space="0" w:color="auto"/>
              <w:right w:val="single" w:sz="12" w:space="0" w:color="auto"/>
            </w:tcBorders>
            <w:noWrap/>
            <w:vAlign w:val="bottom"/>
          </w:tcPr>
          <w:p w14:paraId="4FAC8C01" w14:textId="17EEC235" w:rsidR="00CF5125" w:rsidRPr="00251693" w:rsidRDefault="00CF5125">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50,000.00</w:t>
            </w:r>
          </w:p>
        </w:tc>
        <w:tc>
          <w:tcPr>
            <w:tcW w:w="1890" w:type="dxa"/>
            <w:tcBorders>
              <w:top w:val="single" w:sz="12" w:space="0" w:color="auto"/>
              <w:left w:val="single" w:sz="12" w:space="0" w:color="auto"/>
              <w:bottom w:val="single" w:sz="12" w:space="0" w:color="auto"/>
              <w:right w:val="single" w:sz="12" w:space="0" w:color="auto"/>
            </w:tcBorders>
            <w:noWrap/>
            <w:vAlign w:val="bottom"/>
          </w:tcPr>
          <w:p w14:paraId="2983ED4A" w14:textId="4DB2B202" w:rsidR="00CF5125" w:rsidRPr="00251693" w:rsidRDefault="008F6F8F">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40,000.00</w:t>
            </w:r>
          </w:p>
        </w:tc>
      </w:tr>
      <w:tr w:rsidR="00735CC6" w:rsidRPr="00ED3445" w14:paraId="5DAFE910"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hideMark/>
          </w:tcPr>
          <w:p w14:paraId="028C7172" w14:textId="5771598B" w:rsidR="00735CC6" w:rsidRPr="00251693" w:rsidRDefault="009F1795">
            <w:pPr>
              <w:spacing w:after="0" w:line="240" w:lineRule="auto"/>
              <w:rPr>
                <w:rFonts w:ascii="Calibri" w:eastAsia="Times New Roman" w:hAnsi="Calibri" w:cs="Times New Roman"/>
                <w:color w:val="000000"/>
                <w:sz w:val="21"/>
                <w:szCs w:val="21"/>
              </w:rPr>
            </w:pPr>
            <w:r w:rsidRPr="00251693">
              <w:rPr>
                <w:rFonts w:ascii="Calibri" w:eastAsia="Times New Roman" w:hAnsi="Calibri" w:cs="Times New Roman"/>
                <w:color w:val="000000"/>
                <w:sz w:val="21"/>
                <w:szCs w:val="21"/>
              </w:rPr>
              <w:t xml:space="preserve">Support Vehicles </w:t>
            </w:r>
          </w:p>
        </w:tc>
        <w:tc>
          <w:tcPr>
            <w:tcW w:w="1710" w:type="dxa"/>
            <w:tcBorders>
              <w:top w:val="single" w:sz="12" w:space="0" w:color="auto"/>
              <w:left w:val="single" w:sz="12" w:space="0" w:color="auto"/>
              <w:bottom w:val="single" w:sz="12" w:space="0" w:color="auto"/>
              <w:right w:val="single" w:sz="12" w:space="0" w:color="auto"/>
            </w:tcBorders>
            <w:noWrap/>
            <w:vAlign w:val="bottom"/>
            <w:hideMark/>
          </w:tcPr>
          <w:p w14:paraId="60E8D3B7" w14:textId="3D9D3AD4" w:rsidR="00735CC6" w:rsidRPr="00251693" w:rsidRDefault="00735CC6">
            <w:pPr>
              <w:spacing w:after="0" w:line="240" w:lineRule="auto"/>
              <w:rPr>
                <w:rFonts w:ascii="Calibri" w:eastAsia="Times New Roman" w:hAnsi="Calibri" w:cs="Times New Roman"/>
                <w:color w:val="000000"/>
                <w:sz w:val="21"/>
                <w:szCs w:val="21"/>
              </w:rPr>
            </w:pPr>
            <w:r w:rsidRPr="00251693">
              <w:rPr>
                <w:rFonts w:ascii="Calibri" w:eastAsia="Times New Roman" w:hAnsi="Calibri" w:cs="Times New Roman"/>
                <w:color w:val="000000"/>
                <w:sz w:val="21"/>
                <w:szCs w:val="21"/>
              </w:rPr>
              <w:t xml:space="preserve">$    </w:t>
            </w:r>
            <w:r w:rsidR="009F1795" w:rsidRPr="00251693">
              <w:rPr>
                <w:rFonts w:ascii="Calibri" w:eastAsia="Times New Roman" w:hAnsi="Calibri" w:cs="Times New Roman"/>
                <w:color w:val="000000"/>
                <w:sz w:val="21"/>
                <w:szCs w:val="21"/>
              </w:rPr>
              <w:t xml:space="preserve"> </w:t>
            </w:r>
            <w:r w:rsidR="008B28A1">
              <w:rPr>
                <w:rFonts w:ascii="Calibri" w:eastAsia="Times New Roman" w:hAnsi="Calibri" w:cs="Times New Roman"/>
                <w:color w:val="000000"/>
                <w:sz w:val="21"/>
                <w:szCs w:val="21"/>
              </w:rPr>
              <w:t>35,000.00</w:t>
            </w:r>
          </w:p>
        </w:tc>
        <w:tc>
          <w:tcPr>
            <w:tcW w:w="1890" w:type="dxa"/>
            <w:tcBorders>
              <w:top w:val="single" w:sz="12" w:space="0" w:color="auto"/>
              <w:left w:val="single" w:sz="12" w:space="0" w:color="auto"/>
              <w:bottom w:val="single" w:sz="12" w:space="0" w:color="auto"/>
              <w:right w:val="single" w:sz="12" w:space="0" w:color="auto"/>
            </w:tcBorders>
            <w:noWrap/>
            <w:vAlign w:val="bottom"/>
            <w:hideMark/>
          </w:tcPr>
          <w:p w14:paraId="5F0F0140" w14:textId="6BB65A4A" w:rsidR="00735CC6" w:rsidRPr="00251693" w:rsidRDefault="00735CC6">
            <w:pPr>
              <w:spacing w:after="0" w:line="240" w:lineRule="auto"/>
              <w:rPr>
                <w:rFonts w:ascii="Calibri" w:eastAsia="Times New Roman" w:hAnsi="Calibri" w:cs="Times New Roman"/>
                <w:color w:val="000000"/>
                <w:sz w:val="21"/>
                <w:szCs w:val="21"/>
              </w:rPr>
            </w:pPr>
            <w:r w:rsidRPr="00251693">
              <w:rPr>
                <w:rFonts w:ascii="Calibri" w:eastAsia="Times New Roman" w:hAnsi="Calibri" w:cs="Times New Roman"/>
                <w:color w:val="000000"/>
                <w:sz w:val="21"/>
                <w:szCs w:val="21"/>
              </w:rPr>
              <w:t xml:space="preserve">$   </w:t>
            </w:r>
            <w:r w:rsidR="009F1795" w:rsidRPr="00251693">
              <w:rPr>
                <w:rFonts w:ascii="Calibri" w:eastAsia="Times New Roman" w:hAnsi="Calibri" w:cs="Times New Roman"/>
                <w:color w:val="000000"/>
                <w:sz w:val="21"/>
                <w:szCs w:val="21"/>
              </w:rPr>
              <w:t xml:space="preserve"> </w:t>
            </w:r>
            <w:r w:rsidR="008B28A1">
              <w:rPr>
                <w:rFonts w:ascii="Calibri" w:eastAsia="Times New Roman" w:hAnsi="Calibri" w:cs="Times New Roman"/>
                <w:color w:val="000000"/>
                <w:sz w:val="21"/>
                <w:szCs w:val="21"/>
              </w:rPr>
              <w:t xml:space="preserve"> 28,000.00</w:t>
            </w:r>
          </w:p>
        </w:tc>
      </w:tr>
      <w:tr w:rsidR="00735CC6" w:rsidRPr="00ED3445" w14:paraId="6123CFFA"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hideMark/>
          </w:tcPr>
          <w:p w14:paraId="6EE6BA9D" w14:textId="368C6427" w:rsidR="00735CC6" w:rsidRPr="00251693" w:rsidRDefault="00CF5125">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Bus communication </w:t>
            </w:r>
            <w:r w:rsidR="009F1795" w:rsidRPr="00251693">
              <w:rPr>
                <w:rFonts w:ascii="Calibri" w:eastAsia="Times New Roman" w:hAnsi="Calibri" w:cs="Times New Roman"/>
                <w:color w:val="000000"/>
                <w:sz w:val="21"/>
                <w:szCs w:val="21"/>
              </w:rPr>
              <w:t xml:space="preserve"> </w:t>
            </w:r>
          </w:p>
        </w:tc>
        <w:tc>
          <w:tcPr>
            <w:tcW w:w="1710" w:type="dxa"/>
            <w:tcBorders>
              <w:top w:val="single" w:sz="12" w:space="0" w:color="auto"/>
              <w:left w:val="single" w:sz="12" w:space="0" w:color="auto"/>
              <w:bottom w:val="single" w:sz="12" w:space="0" w:color="auto"/>
              <w:right w:val="single" w:sz="12" w:space="0" w:color="auto"/>
            </w:tcBorders>
            <w:noWrap/>
            <w:vAlign w:val="bottom"/>
            <w:hideMark/>
          </w:tcPr>
          <w:p w14:paraId="24921019" w14:textId="657DEEA0" w:rsidR="00735CC6" w:rsidRPr="00251693" w:rsidRDefault="00735CC6">
            <w:pPr>
              <w:spacing w:after="0" w:line="240" w:lineRule="auto"/>
              <w:rPr>
                <w:rFonts w:ascii="Calibri" w:eastAsia="Times New Roman" w:hAnsi="Calibri" w:cs="Times New Roman"/>
                <w:color w:val="000000"/>
                <w:sz w:val="21"/>
                <w:szCs w:val="21"/>
              </w:rPr>
            </w:pPr>
            <w:r w:rsidRPr="00251693">
              <w:rPr>
                <w:rFonts w:ascii="Calibri" w:eastAsia="Times New Roman" w:hAnsi="Calibri" w:cs="Times New Roman"/>
                <w:color w:val="000000"/>
                <w:sz w:val="21"/>
                <w:szCs w:val="21"/>
              </w:rPr>
              <w:t xml:space="preserve">$    </w:t>
            </w:r>
            <w:r w:rsidR="007A4038" w:rsidRPr="00251693">
              <w:rPr>
                <w:rFonts w:ascii="Calibri" w:eastAsia="Times New Roman" w:hAnsi="Calibri" w:cs="Times New Roman"/>
                <w:color w:val="000000"/>
                <w:sz w:val="21"/>
                <w:szCs w:val="21"/>
              </w:rPr>
              <w:t xml:space="preserve">  </w:t>
            </w:r>
            <w:r w:rsidR="00CF5125">
              <w:rPr>
                <w:rFonts w:ascii="Calibri" w:eastAsia="Times New Roman" w:hAnsi="Calibri" w:cs="Times New Roman"/>
                <w:color w:val="000000"/>
                <w:sz w:val="21"/>
                <w:szCs w:val="21"/>
              </w:rPr>
              <w:t>5,000.00</w:t>
            </w:r>
          </w:p>
        </w:tc>
        <w:tc>
          <w:tcPr>
            <w:tcW w:w="1890" w:type="dxa"/>
            <w:tcBorders>
              <w:top w:val="single" w:sz="12" w:space="0" w:color="auto"/>
              <w:left w:val="single" w:sz="12" w:space="0" w:color="auto"/>
              <w:bottom w:val="single" w:sz="12" w:space="0" w:color="auto"/>
              <w:right w:val="single" w:sz="12" w:space="0" w:color="auto"/>
            </w:tcBorders>
            <w:noWrap/>
            <w:vAlign w:val="bottom"/>
            <w:hideMark/>
          </w:tcPr>
          <w:p w14:paraId="12805AB0" w14:textId="1288B5DA" w:rsidR="00735CC6" w:rsidRPr="00251693" w:rsidRDefault="00735CC6">
            <w:pPr>
              <w:spacing w:after="0" w:line="240" w:lineRule="auto"/>
              <w:rPr>
                <w:rFonts w:ascii="Calibri" w:eastAsia="Times New Roman" w:hAnsi="Calibri" w:cs="Times New Roman"/>
                <w:color w:val="000000"/>
                <w:sz w:val="21"/>
                <w:szCs w:val="21"/>
              </w:rPr>
            </w:pPr>
            <w:r w:rsidRPr="00251693">
              <w:rPr>
                <w:rFonts w:ascii="Calibri" w:eastAsia="Times New Roman" w:hAnsi="Calibri" w:cs="Times New Roman"/>
                <w:color w:val="000000"/>
                <w:sz w:val="21"/>
                <w:szCs w:val="21"/>
              </w:rPr>
              <w:t xml:space="preserve">$    </w:t>
            </w:r>
            <w:r w:rsidR="007A4038" w:rsidRPr="00251693">
              <w:rPr>
                <w:rFonts w:ascii="Calibri" w:eastAsia="Times New Roman" w:hAnsi="Calibri" w:cs="Times New Roman"/>
                <w:color w:val="000000"/>
                <w:sz w:val="21"/>
                <w:szCs w:val="21"/>
              </w:rPr>
              <w:t>4,000.00</w:t>
            </w:r>
            <w:r w:rsidRPr="00251693">
              <w:rPr>
                <w:rFonts w:ascii="Calibri" w:eastAsia="Times New Roman" w:hAnsi="Calibri" w:cs="Times New Roman"/>
                <w:color w:val="000000"/>
                <w:sz w:val="21"/>
                <w:szCs w:val="21"/>
              </w:rPr>
              <w:t xml:space="preserve"> </w:t>
            </w:r>
          </w:p>
        </w:tc>
      </w:tr>
      <w:tr w:rsidR="008B28A1" w:rsidRPr="00ED3445" w14:paraId="0E324876"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tcPr>
          <w:p w14:paraId="37CD3CD2" w14:textId="0AEDEEBE" w:rsidR="008B28A1" w:rsidRPr="00251693" w:rsidRDefault="00CF5125">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Preventive Maintenance </w:t>
            </w:r>
            <w:r w:rsidR="008B28A1">
              <w:rPr>
                <w:rFonts w:ascii="Calibri" w:eastAsia="Times New Roman" w:hAnsi="Calibri" w:cs="Times New Roman"/>
                <w:color w:val="000000"/>
                <w:sz w:val="21"/>
                <w:szCs w:val="21"/>
              </w:rPr>
              <w:t xml:space="preserve"> </w:t>
            </w:r>
          </w:p>
        </w:tc>
        <w:tc>
          <w:tcPr>
            <w:tcW w:w="1710" w:type="dxa"/>
            <w:tcBorders>
              <w:top w:val="single" w:sz="12" w:space="0" w:color="auto"/>
              <w:left w:val="single" w:sz="12" w:space="0" w:color="auto"/>
              <w:bottom w:val="single" w:sz="12" w:space="0" w:color="auto"/>
              <w:right w:val="single" w:sz="12" w:space="0" w:color="auto"/>
            </w:tcBorders>
            <w:noWrap/>
            <w:vAlign w:val="bottom"/>
          </w:tcPr>
          <w:p w14:paraId="57A32326" w14:textId="5625C506" w:rsidR="008B28A1" w:rsidRPr="00251693" w:rsidRDefault="008B28A1">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CF5125">
              <w:rPr>
                <w:rFonts w:ascii="Calibri" w:eastAsia="Times New Roman" w:hAnsi="Calibri" w:cs="Times New Roman"/>
                <w:color w:val="000000"/>
                <w:sz w:val="21"/>
                <w:szCs w:val="21"/>
              </w:rPr>
              <w:t>50,000.00</w:t>
            </w:r>
          </w:p>
        </w:tc>
        <w:tc>
          <w:tcPr>
            <w:tcW w:w="1890" w:type="dxa"/>
            <w:tcBorders>
              <w:top w:val="single" w:sz="12" w:space="0" w:color="auto"/>
              <w:left w:val="single" w:sz="12" w:space="0" w:color="auto"/>
              <w:bottom w:val="single" w:sz="12" w:space="0" w:color="auto"/>
              <w:right w:val="single" w:sz="12" w:space="0" w:color="auto"/>
            </w:tcBorders>
            <w:noWrap/>
            <w:vAlign w:val="bottom"/>
          </w:tcPr>
          <w:p w14:paraId="288840FF" w14:textId="3CC2AB5C" w:rsidR="008B28A1" w:rsidRPr="00251693" w:rsidRDefault="008B28A1">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8F6F8F">
              <w:rPr>
                <w:rFonts w:ascii="Calibri" w:eastAsia="Times New Roman" w:hAnsi="Calibri" w:cs="Times New Roman"/>
                <w:color w:val="000000"/>
                <w:sz w:val="21"/>
                <w:szCs w:val="21"/>
              </w:rPr>
              <w:t>40</w:t>
            </w:r>
            <w:r>
              <w:rPr>
                <w:rFonts w:ascii="Calibri" w:eastAsia="Times New Roman" w:hAnsi="Calibri" w:cs="Times New Roman"/>
                <w:color w:val="000000"/>
                <w:sz w:val="21"/>
                <w:szCs w:val="21"/>
              </w:rPr>
              <w:t>,000.00</w:t>
            </w:r>
          </w:p>
        </w:tc>
      </w:tr>
      <w:tr w:rsidR="008B28A1" w:rsidRPr="00ED3445" w14:paraId="639D49D8"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tcPr>
          <w:p w14:paraId="3BEC08CC" w14:textId="77B7B706" w:rsidR="008B28A1" w:rsidRDefault="00CF5125">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Facility Maint /Improvement </w:t>
            </w:r>
          </w:p>
        </w:tc>
        <w:tc>
          <w:tcPr>
            <w:tcW w:w="1710" w:type="dxa"/>
            <w:tcBorders>
              <w:top w:val="single" w:sz="12" w:space="0" w:color="auto"/>
              <w:left w:val="single" w:sz="12" w:space="0" w:color="auto"/>
              <w:bottom w:val="single" w:sz="12" w:space="0" w:color="auto"/>
              <w:right w:val="single" w:sz="12" w:space="0" w:color="auto"/>
            </w:tcBorders>
            <w:noWrap/>
            <w:vAlign w:val="bottom"/>
          </w:tcPr>
          <w:p w14:paraId="691A6029" w14:textId="065DF790" w:rsidR="008B28A1" w:rsidRDefault="008B28A1">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392986">
              <w:rPr>
                <w:rFonts w:ascii="Calibri" w:eastAsia="Times New Roman" w:hAnsi="Calibri" w:cs="Times New Roman"/>
                <w:color w:val="000000"/>
                <w:sz w:val="21"/>
                <w:szCs w:val="21"/>
              </w:rPr>
              <w:t>50</w:t>
            </w:r>
            <w:r w:rsidR="00CF5125">
              <w:rPr>
                <w:rFonts w:ascii="Calibri" w:eastAsia="Times New Roman" w:hAnsi="Calibri" w:cs="Times New Roman"/>
                <w:color w:val="000000"/>
                <w:sz w:val="21"/>
                <w:szCs w:val="21"/>
              </w:rPr>
              <w:t>,000.00</w:t>
            </w:r>
          </w:p>
        </w:tc>
        <w:tc>
          <w:tcPr>
            <w:tcW w:w="1890" w:type="dxa"/>
            <w:tcBorders>
              <w:top w:val="single" w:sz="12" w:space="0" w:color="auto"/>
              <w:left w:val="single" w:sz="12" w:space="0" w:color="auto"/>
              <w:bottom w:val="single" w:sz="12" w:space="0" w:color="auto"/>
              <w:right w:val="single" w:sz="12" w:space="0" w:color="auto"/>
            </w:tcBorders>
            <w:noWrap/>
            <w:vAlign w:val="bottom"/>
          </w:tcPr>
          <w:p w14:paraId="33E7EDDF" w14:textId="0751DE79" w:rsidR="008B28A1" w:rsidRDefault="008B28A1">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392986">
              <w:rPr>
                <w:rFonts w:ascii="Calibri" w:eastAsia="Times New Roman" w:hAnsi="Calibri" w:cs="Times New Roman"/>
                <w:color w:val="000000"/>
                <w:sz w:val="21"/>
                <w:szCs w:val="21"/>
              </w:rPr>
              <w:t>40</w:t>
            </w:r>
            <w:r>
              <w:rPr>
                <w:rFonts w:ascii="Calibri" w:eastAsia="Times New Roman" w:hAnsi="Calibri" w:cs="Times New Roman"/>
                <w:color w:val="000000"/>
                <w:sz w:val="21"/>
                <w:szCs w:val="21"/>
              </w:rPr>
              <w:t>,000.00</w:t>
            </w:r>
          </w:p>
        </w:tc>
      </w:tr>
      <w:tr w:rsidR="00392986" w:rsidRPr="00ED3445" w14:paraId="32B0D1CF"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tcPr>
          <w:p w14:paraId="1A103F22" w14:textId="593C263F" w:rsidR="00392986" w:rsidRDefault="00392986">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Masonry repairs </w:t>
            </w:r>
          </w:p>
        </w:tc>
        <w:tc>
          <w:tcPr>
            <w:tcW w:w="1710" w:type="dxa"/>
            <w:tcBorders>
              <w:top w:val="single" w:sz="12" w:space="0" w:color="auto"/>
              <w:left w:val="single" w:sz="12" w:space="0" w:color="auto"/>
              <w:bottom w:val="single" w:sz="12" w:space="0" w:color="auto"/>
              <w:right w:val="single" w:sz="12" w:space="0" w:color="auto"/>
            </w:tcBorders>
            <w:noWrap/>
            <w:vAlign w:val="bottom"/>
          </w:tcPr>
          <w:p w14:paraId="7C52CE12" w14:textId="1134179F" w:rsidR="00392986" w:rsidRDefault="00392986">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50,000.00</w:t>
            </w:r>
          </w:p>
        </w:tc>
        <w:tc>
          <w:tcPr>
            <w:tcW w:w="1890" w:type="dxa"/>
            <w:tcBorders>
              <w:top w:val="single" w:sz="12" w:space="0" w:color="auto"/>
              <w:left w:val="single" w:sz="12" w:space="0" w:color="auto"/>
              <w:bottom w:val="single" w:sz="12" w:space="0" w:color="auto"/>
              <w:right w:val="single" w:sz="12" w:space="0" w:color="auto"/>
            </w:tcBorders>
            <w:noWrap/>
            <w:vAlign w:val="bottom"/>
          </w:tcPr>
          <w:p w14:paraId="0FB876C3" w14:textId="6C21E761" w:rsidR="00392986" w:rsidRDefault="00392986">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40,000.00</w:t>
            </w:r>
          </w:p>
        </w:tc>
      </w:tr>
      <w:tr w:rsidR="00735CC6" w:rsidRPr="00ED3445" w14:paraId="4E8E741A"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14:paraId="5FB6DA8B" w14:textId="3EC9274F" w:rsidR="00735CC6" w:rsidRPr="00251693" w:rsidRDefault="00735CC6">
            <w:pPr>
              <w:spacing w:after="0" w:line="240" w:lineRule="auto"/>
              <w:rPr>
                <w:rFonts w:ascii="Calibri" w:eastAsia="Times New Roman" w:hAnsi="Calibri" w:cs="Times New Roman"/>
                <w:b/>
                <w:bCs/>
                <w:color w:val="000000"/>
                <w:sz w:val="21"/>
                <w:szCs w:val="21"/>
              </w:rPr>
            </w:pPr>
            <w:r w:rsidRPr="00251693">
              <w:rPr>
                <w:rFonts w:ascii="Calibri" w:eastAsia="Times New Roman" w:hAnsi="Calibri" w:cs="Times New Roman"/>
                <w:b/>
                <w:bCs/>
                <w:color w:val="000000"/>
                <w:sz w:val="21"/>
                <w:szCs w:val="21"/>
              </w:rPr>
              <w:t>FY 2</w:t>
            </w:r>
            <w:r w:rsidR="009C6DF8">
              <w:rPr>
                <w:rFonts w:ascii="Calibri" w:eastAsia="Times New Roman" w:hAnsi="Calibri" w:cs="Times New Roman"/>
                <w:b/>
                <w:bCs/>
                <w:color w:val="000000"/>
                <w:sz w:val="21"/>
                <w:szCs w:val="21"/>
              </w:rPr>
              <w:t>6</w:t>
            </w:r>
          </w:p>
        </w:tc>
        <w:tc>
          <w:tcPr>
            <w:tcW w:w="17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14:paraId="04EB02CE" w14:textId="77777777" w:rsidR="00735CC6" w:rsidRPr="00251693" w:rsidRDefault="00735CC6">
            <w:pPr>
              <w:spacing w:line="256" w:lineRule="auto"/>
              <w:rPr>
                <w:rFonts w:ascii="Calibri" w:eastAsia="Times New Roman" w:hAnsi="Calibri" w:cs="Times New Roman"/>
                <w:b/>
                <w:bCs/>
                <w:color w:val="000000"/>
                <w:sz w:val="21"/>
                <w:szCs w:val="21"/>
              </w:rPr>
            </w:pPr>
          </w:p>
        </w:tc>
        <w:tc>
          <w:tcPr>
            <w:tcW w:w="18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tcPr>
          <w:p w14:paraId="46D7596D" w14:textId="77777777" w:rsidR="00735CC6" w:rsidRPr="00251693" w:rsidRDefault="00735CC6">
            <w:pPr>
              <w:spacing w:after="0" w:line="240" w:lineRule="auto"/>
              <w:jc w:val="center"/>
              <w:rPr>
                <w:rFonts w:ascii="Calibri" w:eastAsia="Times New Roman" w:hAnsi="Calibri" w:cs="Times New Roman"/>
                <w:color w:val="000000"/>
                <w:sz w:val="21"/>
                <w:szCs w:val="21"/>
              </w:rPr>
            </w:pPr>
          </w:p>
        </w:tc>
      </w:tr>
      <w:tr w:rsidR="00735CC6" w:rsidRPr="00ED3445" w14:paraId="144F271C"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hideMark/>
          </w:tcPr>
          <w:p w14:paraId="2D943884" w14:textId="5DC73EE0" w:rsidR="00735CC6" w:rsidRPr="00251693" w:rsidRDefault="00CF5125">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AD Hardware </w:t>
            </w:r>
          </w:p>
        </w:tc>
        <w:tc>
          <w:tcPr>
            <w:tcW w:w="1710" w:type="dxa"/>
            <w:tcBorders>
              <w:top w:val="single" w:sz="12" w:space="0" w:color="auto"/>
              <w:left w:val="single" w:sz="12" w:space="0" w:color="auto"/>
              <w:bottom w:val="single" w:sz="12" w:space="0" w:color="auto"/>
              <w:right w:val="single" w:sz="12" w:space="0" w:color="auto"/>
            </w:tcBorders>
            <w:noWrap/>
            <w:vAlign w:val="bottom"/>
            <w:hideMark/>
          </w:tcPr>
          <w:p w14:paraId="2A48E08B" w14:textId="7AC055E3" w:rsidR="00735CC6" w:rsidRPr="00251693" w:rsidRDefault="00735CC6">
            <w:pPr>
              <w:spacing w:after="0" w:line="240" w:lineRule="auto"/>
              <w:rPr>
                <w:rFonts w:ascii="Calibri" w:eastAsia="Times New Roman" w:hAnsi="Calibri" w:cs="Times New Roman"/>
                <w:color w:val="000000"/>
                <w:sz w:val="21"/>
                <w:szCs w:val="21"/>
              </w:rPr>
            </w:pPr>
            <w:r w:rsidRPr="00251693">
              <w:rPr>
                <w:rFonts w:ascii="Calibri" w:eastAsia="Times New Roman" w:hAnsi="Calibri" w:cs="Times New Roman"/>
                <w:color w:val="000000"/>
                <w:sz w:val="21"/>
                <w:szCs w:val="21"/>
              </w:rPr>
              <w:t xml:space="preserve">$      </w:t>
            </w:r>
            <w:r w:rsidR="00CF5125">
              <w:rPr>
                <w:rFonts w:ascii="Calibri" w:eastAsia="Times New Roman" w:hAnsi="Calibri" w:cs="Times New Roman"/>
                <w:color w:val="000000"/>
                <w:sz w:val="21"/>
                <w:szCs w:val="21"/>
              </w:rPr>
              <w:t>30,000.00</w:t>
            </w:r>
          </w:p>
        </w:tc>
        <w:tc>
          <w:tcPr>
            <w:tcW w:w="1890" w:type="dxa"/>
            <w:tcBorders>
              <w:top w:val="single" w:sz="12" w:space="0" w:color="auto"/>
              <w:left w:val="single" w:sz="12" w:space="0" w:color="auto"/>
              <w:bottom w:val="single" w:sz="12" w:space="0" w:color="auto"/>
              <w:right w:val="single" w:sz="12" w:space="0" w:color="auto"/>
            </w:tcBorders>
            <w:noWrap/>
            <w:vAlign w:val="bottom"/>
            <w:hideMark/>
          </w:tcPr>
          <w:p w14:paraId="48DAFE00" w14:textId="73F243AE" w:rsidR="00735CC6" w:rsidRPr="00251693" w:rsidRDefault="00735CC6">
            <w:pPr>
              <w:spacing w:after="0" w:line="240" w:lineRule="auto"/>
              <w:rPr>
                <w:rFonts w:ascii="Calibri" w:eastAsia="Times New Roman" w:hAnsi="Calibri" w:cs="Times New Roman"/>
                <w:color w:val="000000"/>
                <w:sz w:val="21"/>
                <w:szCs w:val="21"/>
              </w:rPr>
            </w:pPr>
            <w:r w:rsidRPr="00251693">
              <w:rPr>
                <w:rFonts w:ascii="Calibri" w:eastAsia="Times New Roman" w:hAnsi="Calibri" w:cs="Times New Roman"/>
                <w:color w:val="000000"/>
                <w:sz w:val="21"/>
                <w:szCs w:val="21"/>
              </w:rPr>
              <w:t xml:space="preserve">$     </w:t>
            </w:r>
            <w:r w:rsidR="008F6F8F">
              <w:rPr>
                <w:rFonts w:ascii="Calibri" w:eastAsia="Times New Roman" w:hAnsi="Calibri" w:cs="Times New Roman"/>
                <w:color w:val="000000"/>
                <w:sz w:val="21"/>
                <w:szCs w:val="21"/>
              </w:rPr>
              <w:t>24</w:t>
            </w:r>
            <w:r w:rsidR="009C6DF8">
              <w:rPr>
                <w:rFonts w:ascii="Calibri" w:eastAsia="Times New Roman" w:hAnsi="Calibri" w:cs="Times New Roman"/>
                <w:color w:val="000000"/>
                <w:sz w:val="21"/>
                <w:szCs w:val="21"/>
              </w:rPr>
              <w:t>,000.00</w:t>
            </w:r>
          </w:p>
        </w:tc>
      </w:tr>
      <w:tr w:rsidR="009C6DF8" w:rsidRPr="00ED3445" w14:paraId="24962D1B"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tcPr>
          <w:p w14:paraId="743AE277" w14:textId="386C399B" w:rsidR="009C6DF8" w:rsidRDefault="00CF5125">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ADP Software </w:t>
            </w:r>
          </w:p>
        </w:tc>
        <w:tc>
          <w:tcPr>
            <w:tcW w:w="1710" w:type="dxa"/>
            <w:tcBorders>
              <w:top w:val="single" w:sz="12" w:space="0" w:color="auto"/>
              <w:left w:val="single" w:sz="12" w:space="0" w:color="auto"/>
              <w:bottom w:val="single" w:sz="12" w:space="0" w:color="auto"/>
              <w:right w:val="single" w:sz="12" w:space="0" w:color="auto"/>
            </w:tcBorders>
            <w:noWrap/>
            <w:vAlign w:val="bottom"/>
          </w:tcPr>
          <w:p w14:paraId="120ED74F" w14:textId="54603FD0" w:rsidR="009C6DF8" w:rsidRDefault="009C6DF8">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CF5125">
              <w:rPr>
                <w:rFonts w:ascii="Calibri" w:eastAsia="Times New Roman" w:hAnsi="Calibri" w:cs="Times New Roman"/>
                <w:color w:val="000000"/>
                <w:sz w:val="21"/>
                <w:szCs w:val="21"/>
              </w:rPr>
              <w:t xml:space="preserve"> 25,000.00</w:t>
            </w:r>
          </w:p>
        </w:tc>
        <w:tc>
          <w:tcPr>
            <w:tcW w:w="1890" w:type="dxa"/>
            <w:tcBorders>
              <w:top w:val="single" w:sz="12" w:space="0" w:color="auto"/>
              <w:left w:val="single" w:sz="12" w:space="0" w:color="auto"/>
              <w:bottom w:val="single" w:sz="12" w:space="0" w:color="auto"/>
              <w:right w:val="single" w:sz="12" w:space="0" w:color="auto"/>
            </w:tcBorders>
            <w:noWrap/>
            <w:vAlign w:val="bottom"/>
          </w:tcPr>
          <w:p w14:paraId="5E66B0B6" w14:textId="683AE73A" w:rsidR="009C6DF8" w:rsidRDefault="009C6DF8">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8F6F8F">
              <w:rPr>
                <w:rFonts w:ascii="Calibri" w:eastAsia="Times New Roman" w:hAnsi="Calibri" w:cs="Times New Roman"/>
                <w:color w:val="000000"/>
                <w:sz w:val="21"/>
                <w:szCs w:val="21"/>
              </w:rPr>
              <w:t>20</w:t>
            </w:r>
            <w:r>
              <w:rPr>
                <w:rFonts w:ascii="Calibri" w:eastAsia="Times New Roman" w:hAnsi="Calibri" w:cs="Times New Roman"/>
                <w:color w:val="000000"/>
                <w:sz w:val="21"/>
                <w:szCs w:val="21"/>
              </w:rPr>
              <w:t>,000.00</w:t>
            </w:r>
          </w:p>
        </w:tc>
      </w:tr>
      <w:tr w:rsidR="009C6DF8" w:rsidRPr="00ED3445" w14:paraId="4D2824A6"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tcPr>
          <w:p w14:paraId="4B967514" w14:textId="6431E544" w:rsidR="009C6DF8" w:rsidRDefault="00CF5125">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Misc Support Equipment </w:t>
            </w:r>
          </w:p>
        </w:tc>
        <w:tc>
          <w:tcPr>
            <w:tcW w:w="1710" w:type="dxa"/>
            <w:tcBorders>
              <w:top w:val="single" w:sz="12" w:space="0" w:color="auto"/>
              <w:left w:val="single" w:sz="12" w:space="0" w:color="auto"/>
              <w:bottom w:val="single" w:sz="12" w:space="0" w:color="auto"/>
              <w:right w:val="single" w:sz="12" w:space="0" w:color="auto"/>
            </w:tcBorders>
            <w:noWrap/>
            <w:vAlign w:val="bottom"/>
          </w:tcPr>
          <w:p w14:paraId="66164D54" w14:textId="51905D7A" w:rsidR="009C6DF8" w:rsidRDefault="009C6DF8">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CF5125">
              <w:rPr>
                <w:rFonts w:ascii="Calibri" w:eastAsia="Times New Roman" w:hAnsi="Calibri" w:cs="Times New Roman"/>
                <w:color w:val="000000"/>
                <w:sz w:val="21"/>
                <w:szCs w:val="21"/>
              </w:rPr>
              <w:t>50,000.00</w:t>
            </w:r>
          </w:p>
        </w:tc>
        <w:tc>
          <w:tcPr>
            <w:tcW w:w="1890" w:type="dxa"/>
            <w:tcBorders>
              <w:top w:val="single" w:sz="12" w:space="0" w:color="auto"/>
              <w:left w:val="single" w:sz="12" w:space="0" w:color="auto"/>
              <w:bottom w:val="single" w:sz="12" w:space="0" w:color="auto"/>
              <w:right w:val="single" w:sz="12" w:space="0" w:color="auto"/>
            </w:tcBorders>
            <w:noWrap/>
            <w:vAlign w:val="bottom"/>
          </w:tcPr>
          <w:p w14:paraId="00A17592" w14:textId="5200803F" w:rsidR="009C6DF8" w:rsidRDefault="009C6DF8">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     </w:t>
            </w:r>
            <w:r w:rsidR="008F6F8F">
              <w:rPr>
                <w:rFonts w:ascii="Calibri" w:eastAsia="Times New Roman" w:hAnsi="Calibri" w:cs="Times New Roman"/>
                <w:color w:val="000000"/>
                <w:sz w:val="21"/>
                <w:szCs w:val="21"/>
              </w:rPr>
              <w:t>40</w:t>
            </w:r>
            <w:r>
              <w:rPr>
                <w:rFonts w:ascii="Calibri" w:eastAsia="Times New Roman" w:hAnsi="Calibri" w:cs="Times New Roman"/>
                <w:color w:val="000000"/>
                <w:sz w:val="21"/>
                <w:szCs w:val="21"/>
              </w:rPr>
              <w:t>,000.00</w:t>
            </w:r>
          </w:p>
        </w:tc>
      </w:tr>
      <w:tr w:rsidR="00735CC6" w:rsidRPr="00ED3445" w14:paraId="7D706809" w14:textId="77777777" w:rsidTr="0016134C">
        <w:trPr>
          <w:trHeight w:val="300"/>
        </w:trPr>
        <w:tc>
          <w:tcPr>
            <w:tcW w:w="3240" w:type="dxa"/>
            <w:tcBorders>
              <w:top w:val="single" w:sz="12" w:space="0" w:color="auto"/>
              <w:left w:val="single" w:sz="12" w:space="0" w:color="auto"/>
              <w:bottom w:val="single" w:sz="12" w:space="0" w:color="auto"/>
              <w:right w:val="single" w:sz="12" w:space="0" w:color="auto"/>
            </w:tcBorders>
            <w:noWrap/>
            <w:vAlign w:val="bottom"/>
            <w:hideMark/>
          </w:tcPr>
          <w:p w14:paraId="7F1AAF91" w14:textId="33D77477" w:rsidR="00735CC6" w:rsidRPr="00ED3445" w:rsidRDefault="008F3320">
            <w:pPr>
              <w:spacing w:after="0" w:line="240" w:lineRule="auto"/>
              <w:rPr>
                <w:rFonts w:ascii="Calibri" w:eastAsia="Times New Roman" w:hAnsi="Calibri" w:cs="Times New Roman"/>
                <w:color w:val="000000"/>
                <w:sz w:val="21"/>
                <w:szCs w:val="21"/>
              </w:rPr>
            </w:pPr>
            <w:r w:rsidRPr="00ED3445">
              <w:rPr>
                <w:rFonts w:ascii="Calibri" w:eastAsia="Times New Roman" w:hAnsi="Calibri" w:cs="Times New Roman"/>
                <w:color w:val="000000"/>
                <w:sz w:val="21"/>
                <w:szCs w:val="21"/>
              </w:rPr>
              <w:t xml:space="preserve">Preventive Maintenance </w:t>
            </w:r>
            <w:r w:rsidR="007A4038" w:rsidRPr="00ED3445">
              <w:rPr>
                <w:rFonts w:ascii="Calibri" w:eastAsia="Times New Roman" w:hAnsi="Calibri" w:cs="Times New Roman"/>
                <w:color w:val="000000"/>
                <w:sz w:val="21"/>
                <w:szCs w:val="21"/>
              </w:rPr>
              <w:t xml:space="preserve"> </w:t>
            </w:r>
          </w:p>
        </w:tc>
        <w:tc>
          <w:tcPr>
            <w:tcW w:w="1710" w:type="dxa"/>
            <w:tcBorders>
              <w:top w:val="single" w:sz="12" w:space="0" w:color="auto"/>
              <w:left w:val="single" w:sz="12" w:space="0" w:color="auto"/>
              <w:bottom w:val="single" w:sz="12" w:space="0" w:color="auto"/>
              <w:right w:val="single" w:sz="12" w:space="0" w:color="auto"/>
            </w:tcBorders>
            <w:noWrap/>
            <w:vAlign w:val="bottom"/>
            <w:hideMark/>
          </w:tcPr>
          <w:p w14:paraId="3DCE38F9" w14:textId="79096AFA" w:rsidR="00735CC6" w:rsidRPr="00ED3445" w:rsidRDefault="00735CC6">
            <w:pPr>
              <w:spacing w:after="0" w:line="240" w:lineRule="auto"/>
              <w:rPr>
                <w:rFonts w:ascii="Calibri" w:eastAsia="Times New Roman" w:hAnsi="Calibri" w:cs="Times New Roman"/>
                <w:color w:val="000000"/>
                <w:sz w:val="21"/>
                <w:szCs w:val="21"/>
              </w:rPr>
            </w:pPr>
            <w:r w:rsidRPr="00ED3445">
              <w:rPr>
                <w:rFonts w:ascii="Calibri" w:eastAsia="Times New Roman" w:hAnsi="Calibri" w:cs="Times New Roman"/>
                <w:color w:val="000000"/>
                <w:sz w:val="21"/>
                <w:szCs w:val="21"/>
              </w:rPr>
              <w:t xml:space="preserve">$     </w:t>
            </w:r>
            <w:r w:rsidR="008F3320" w:rsidRPr="00ED3445">
              <w:rPr>
                <w:rFonts w:ascii="Calibri" w:eastAsia="Times New Roman" w:hAnsi="Calibri" w:cs="Times New Roman"/>
                <w:color w:val="000000"/>
                <w:sz w:val="21"/>
                <w:szCs w:val="21"/>
              </w:rPr>
              <w:t xml:space="preserve"> 50,000.00</w:t>
            </w:r>
          </w:p>
        </w:tc>
        <w:tc>
          <w:tcPr>
            <w:tcW w:w="1890" w:type="dxa"/>
            <w:tcBorders>
              <w:top w:val="single" w:sz="12" w:space="0" w:color="auto"/>
              <w:left w:val="single" w:sz="12" w:space="0" w:color="auto"/>
              <w:bottom w:val="single" w:sz="12" w:space="0" w:color="auto"/>
              <w:right w:val="single" w:sz="12" w:space="0" w:color="auto"/>
            </w:tcBorders>
            <w:noWrap/>
            <w:vAlign w:val="bottom"/>
            <w:hideMark/>
          </w:tcPr>
          <w:p w14:paraId="2B6C867E" w14:textId="10C06D54" w:rsidR="00735CC6" w:rsidRPr="00ED3445" w:rsidRDefault="00735CC6">
            <w:pPr>
              <w:spacing w:after="0" w:line="240" w:lineRule="auto"/>
              <w:rPr>
                <w:rFonts w:ascii="Calibri" w:eastAsia="Times New Roman" w:hAnsi="Calibri" w:cs="Times New Roman"/>
                <w:color w:val="000000"/>
                <w:sz w:val="21"/>
                <w:szCs w:val="21"/>
              </w:rPr>
            </w:pPr>
            <w:r w:rsidRPr="00ED3445">
              <w:rPr>
                <w:rFonts w:ascii="Calibri" w:eastAsia="Times New Roman" w:hAnsi="Calibri" w:cs="Times New Roman"/>
                <w:color w:val="000000"/>
                <w:sz w:val="21"/>
                <w:szCs w:val="21"/>
              </w:rPr>
              <w:t xml:space="preserve">$    </w:t>
            </w:r>
            <w:r w:rsidR="008F6F8F">
              <w:rPr>
                <w:rFonts w:ascii="Calibri" w:eastAsia="Times New Roman" w:hAnsi="Calibri" w:cs="Times New Roman"/>
                <w:color w:val="000000"/>
                <w:sz w:val="21"/>
                <w:szCs w:val="21"/>
              </w:rPr>
              <w:t>40</w:t>
            </w:r>
            <w:r w:rsidR="008F3320" w:rsidRPr="00ED3445">
              <w:rPr>
                <w:rFonts w:ascii="Calibri" w:eastAsia="Times New Roman" w:hAnsi="Calibri" w:cs="Times New Roman"/>
                <w:color w:val="000000"/>
                <w:sz w:val="21"/>
                <w:szCs w:val="21"/>
              </w:rPr>
              <w:t>,000.00</w:t>
            </w:r>
          </w:p>
        </w:tc>
      </w:tr>
    </w:tbl>
    <w:p w14:paraId="472B33F0" w14:textId="77777777" w:rsidR="00735CC6" w:rsidRPr="00ED3445" w:rsidRDefault="00735CC6" w:rsidP="00780724">
      <w:pPr>
        <w:pStyle w:val="Default"/>
        <w:rPr>
          <w:color w:val="auto"/>
          <w:sz w:val="21"/>
          <w:szCs w:val="21"/>
        </w:rPr>
      </w:pPr>
    </w:p>
    <w:p w14:paraId="0CDF2DB7" w14:textId="77777777" w:rsidR="00DF5922" w:rsidRPr="00ED3445" w:rsidRDefault="00DF5922" w:rsidP="00DF5922">
      <w:pPr>
        <w:pStyle w:val="Default"/>
        <w:rPr>
          <w:sz w:val="21"/>
          <w:szCs w:val="21"/>
        </w:rPr>
      </w:pPr>
      <w:r w:rsidRPr="00ED3445">
        <w:rPr>
          <w:b/>
          <w:bCs/>
          <w:sz w:val="21"/>
          <w:szCs w:val="21"/>
        </w:rPr>
        <w:t xml:space="preserve">STEP ONE: BASE FIGURE </w:t>
      </w:r>
    </w:p>
    <w:p w14:paraId="60F4739D" w14:textId="402F61D0" w:rsidR="0003007B" w:rsidRPr="00ED3445" w:rsidRDefault="00DF5922" w:rsidP="00ED3445">
      <w:pPr>
        <w:pStyle w:val="Default"/>
        <w:rPr>
          <w:sz w:val="21"/>
          <w:szCs w:val="21"/>
        </w:rPr>
      </w:pPr>
      <w:r w:rsidRPr="00ED3445">
        <w:rPr>
          <w:sz w:val="21"/>
          <w:szCs w:val="21"/>
        </w:rPr>
        <w:t xml:space="preserve">The Base Figure is an estimation of the relative availability of DBE contractors for the type of work anticipated over the next three years. This is calculated through the following process: </w:t>
      </w:r>
    </w:p>
    <w:p w14:paraId="74C85009" w14:textId="77777777" w:rsidR="00ED3445" w:rsidRPr="00ED3445" w:rsidRDefault="00ED3445" w:rsidP="00ED3445">
      <w:pPr>
        <w:pStyle w:val="Default"/>
        <w:rPr>
          <w:sz w:val="21"/>
          <w:szCs w:val="21"/>
        </w:rPr>
      </w:pPr>
    </w:p>
    <w:p w14:paraId="1D042D32" w14:textId="77777777" w:rsidR="00DF5922" w:rsidRPr="00ED3445" w:rsidRDefault="00DF5922" w:rsidP="00DF5922">
      <w:pPr>
        <w:pStyle w:val="Default"/>
        <w:spacing w:after="204"/>
        <w:rPr>
          <w:sz w:val="21"/>
          <w:szCs w:val="21"/>
        </w:rPr>
      </w:pPr>
      <w:r w:rsidRPr="00ED3445">
        <w:rPr>
          <w:sz w:val="21"/>
          <w:szCs w:val="21"/>
        </w:rPr>
        <w:t xml:space="preserve">1. Identify the North American Industry Classification System (NAICS) codes for each type of work the District anticipates it will undertake with FTA funds in the next three fiscal years. (Attachment 1) </w:t>
      </w:r>
    </w:p>
    <w:p w14:paraId="4446A4DD" w14:textId="1BAAD8EA" w:rsidR="00DF5922" w:rsidRPr="00ED3445" w:rsidRDefault="00DF5922" w:rsidP="00DF5922">
      <w:pPr>
        <w:pStyle w:val="Default"/>
        <w:spacing w:after="204"/>
        <w:rPr>
          <w:sz w:val="21"/>
          <w:szCs w:val="21"/>
        </w:rPr>
      </w:pPr>
      <w:r w:rsidRPr="00ED3445">
        <w:rPr>
          <w:sz w:val="21"/>
          <w:szCs w:val="21"/>
        </w:rPr>
        <w:t>2. Identify the total number of firms available in the base market area (the state of Connecticut) for each NAICS code. This information was obtained from the 20</w:t>
      </w:r>
      <w:r w:rsidR="00BA1123" w:rsidRPr="00ED3445">
        <w:rPr>
          <w:sz w:val="21"/>
          <w:szCs w:val="21"/>
        </w:rPr>
        <w:t>20</w:t>
      </w:r>
      <w:r w:rsidRPr="00ED3445">
        <w:rPr>
          <w:sz w:val="21"/>
          <w:szCs w:val="21"/>
        </w:rPr>
        <w:t xml:space="preserve"> Economic Census (the most recent year available.) (Attachment 1) </w:t>
      </w:r>
    </w:p>
    <w:p w14:paraId="652F99FC" w14:textId="041B1081" w:rsidR="00DF5922" w:rsidRPr="00ED3445" w:rsidRDefault="00DF5922" w:rsidP="00DF5922">
      <w:pPr>
        <w:pStyle w:val="Default"/>
        <w:spacing w:after="204"/>
        <w:rPr>
          <w:sz w:val="21"/>
          <w:szCs w:val="21"/>
        </w:rPr>
      </w:pPr>
      <w:r w:rsidRPr="00ED3445">
        <w:rPr>
          <w:sz w:val="21"/>
          <w:szCs w:val="21"/>
        </w:rPr>
        <w:t xml:space="preserve">3. Identify the number of DBE contractors and subcontractors ready, willing, and able to do business by each NAICS code number identified in task 1 above. This information is obtained from the </w:t>
      </w:r>
      <w:r w:rsidR="000A2823" w:rsidRPr="00ED3445">
        <w:rPr>
          <w:sz w:val="21"/>
          <w:szCs w:val="21"/>
        </w:rPr>
        <w:t>statewide</w:t>
      </w:r>
      <w:r w:rsidRPr="00ED3445">
        <w:rPr>
          <w:sz w:val="21"/>
          <w:szCs w:val="21"/>
        </w:rPr>
        <w:t xml:space="preserve"> DBE directory published by the Connecticut Department of Transportation. (Attachment 1) </w:t>
      </w:r>
    </w:p>
    <w:p w14:paraId="6E33415E" w14:textId="77777777" w:rsidR="00DF5922" w:rsidRPr="00ED3445" w:rsidRDefault="00DF5922" w:rsidP="00DF5922">
      <w:pPr>
        <w:pStyle w:val="Default"/>
        <w:spacing w:after="204"/>
        <w:rPr>
          <w:sz w:val="21"/>
          <w:szCs w:val="21"/>
        </w:rPr>
      </w:pPr>
      <w:r w:rsidRPr="00ED3445">
        <w:rPr>
          <w:sz w:val="21"/>
          <w:szCs w:val="21"/>
        </w:rPr>
        <w:t xml:space="preserve">4. Estimate the relative availability of DBE contractors for each type of work by totaling the number of DBE firms available for each project type and dividing by the total number of firms available for each project type. (Attachment 1) </w:t>
      </w:r>
    </w:p>
    <w:p w14:paraId="3F5FB7C6" w14:textId="77777777" w:rsidR="00DF5922" w:rsidRPr="00ED3445" w:rsidRDefault="00DF5922" w:rsidP="00DF5922">
      <w:pPr>
        <w:pStyle w:val="Default"/>
        <w:spacing w:after="204"/>
        <w:rPr>
          <w:sz w:val="21"/>
          <w:szCs w:val="21"/>
        </w:rPr>
      </w:pPr>
      <w:r w:rsidRPr="00ED3445">
        <w:rPr>
          <w:sz w:val="21"/>
          <w:szCs w:val="21"/>
        </w:rPr>
        <w:lastRenderedPageBreak/>
        <w:t xml:space="preserve">5. Determine the relative weight of each type of work, based upon expenditure per type of work divided by total FTA expenditures expected in the next three years. (Attachment 2) </w:t>
      </w:r>
    </w:p>
    <w:p w14:paraId="5619EDE3" w14:textId="77777777" w:rsidR="00DF5922" w:rsidRPr="00ED3445" w:rsidRDefault="00DF5922" w:rsidP="00DF5922">
      <w:pPr>
        <w:pStyle w:val="Default"/>
        <w:rPr>
          <w:sz w:val="21"/>
          <w:szCs w:val="21"/>
        </w:rPr>
      </w:pPr>
      <w:r w:rsidRPr="00ED3445">
        <w:rPr>
          <w:sz w:val="21"/>
          <w:szCs w:val="21"/>
        </w:rPr>
        <w:t xml:space="preserve">6. Multiply the relative weight by the relative availability for each project type, sum the results, to get the base figure. (Attachment 2) </w:t>
      </w:r>
    </w:p>
    <w:p w14:paraId="3BC7F7D4" w14:textId="77777777" w:rsidR="00DF5922" w:rsidRPr="00ED3445" w:rsidRDefault="00DF5922" w:rsidP="00DF5922">
      <w:pPr>
        <w:pStyle w:val="Default"/>
        <w:rPr>
          <w:sz w:val="21"/>
          <w:szCs w:val="21"/>
        </w:rPr>
      </w:pPr>
    </w:p>
    <w:p w14:paraId="017B5C1B" w14:textId="156AC407" w:rsidR="00DF5922" w:rsidRPr="00ED3445" w:rsidRDefault="00DF5922" w:rsidP="00DF5922">
      <w:pPr>
        <w:pStyle w:val="Default"/>
        <w:rPr>
          <w:sz w:val="21"/>
          <w:szCs w:val="21"/>
        </w:rPr>
      </w:pPr>
      <w:r w:rsidRPr="00ED3445">
        <w:rPr>
          <w:sz w:val="21"/>
          <w:szCs w:val="21"/>
        </w:rPr>
        <w:t xml:space="preserve">Attachments 1 and 2 present the results of the above process. The resulting base figure is </w:t>
      </w:r>
      <w:r w:rsidR="006241A8">
        <w:rPr>
          <w:sz w:val="21"/>
          <w:szCs w:val="21"/>
        </w:rPr>
        <w:t>1.76</w:t>
      </w:r>
      <w:r w:rsidRPr="00ED3445">
        <w:rPr>
          <w:sz w:val="21"/>
          <w:szCs w:val="21"/>
        </w:rPr>
        <w:t xml:space="preserve">%. </w:t>
      </w:r>
    </w:p>
    <w:p w14:paraId="74893459" w14:textId="77777777" w:rsidR="0003007B" w:rsidRPr="00ED3445" w:rsidRDefault="0003007B" w:rsidP="00DF5922">
      <w:pPr>
        <w:pStyle w:val="Default"/>
        <w:rPr>
          <w:sz w:val="21"/>
          <w:szCs w:val="21"/>
        </w:rPr>
      </w:pPr>
    </w:p>
    <w:p w14:paraId="4EAA318B" w14:textId="77777777" w:rsidR="00DF5922" w:rsidRPr="00ED3445" w:rsidRDefault="00DF5922" w:rsidP="00DF5922">
      <w:pPr>
        <w:pStyle w:val="Default"/>
        <w:rPr>
          <w:sz w:val="21"/>
          <w:szCs w:val="21"/>
        </w:rPr>
      </w:pPr>
      <w:r w:rsidRPr="00ED3445">
        <w:rPr>
          <w:b/>
          <w:bCs/>
          <w:sz w:val="21"/>
          <w:szCs w:val="21"/>
        </w:rPr>
        <w:t xml:space="preserve">STEP 2: ADJUSTMENTS </w:t>
      </w:r>
    </w:p>
    <w:p w14:paraId="723B8692" w14:textId="77777777" w:rsidR="00A401CE" w:rsidRPr="00ED3445" w:rsidRDefault="00DF5922" w:rsidP="00A401CE">
      <w:pPr>
        <w:pStyle w:val="Default"/>
        <w:rPr>
          <w:sz w:val="21"/>
          <w:szCs w:val="21"/>
        </w:rPr>
      </w:pPr>
      <w:r w:rsidRPr="00ED3445">
        <w:rPr>
          <w:sz w:val="21"/>
          <w:szCs w:val="21"/>
        </w:rPr>
        <w:t>In this step, a review of various types of available information about contracting activity was undertaken to determine whether an up or down adjustment from the Base Figure was needed</w:t>
      </w:r>
      <w:r w:rsidR="0003007B" w:rsidRPr="00ED3445">
        <w:rPr>
          <w:sz w:val="21"/>
          <w:szCs w:val="21"/>
        </w:rPr>
        <w:t>.</w:t>
      </w:r>
      <w:r w:rsidRPr="00ED3445">
        <w:rPr>
          <w:sz w:val="21"/>
          <w:szCs w:val="21"/>
        </w:rPr>
        <w:t xml:space="preserve"> </w:t>
      </w:r>
    </w:p>
    <w:p w14:paraId="70A69083" w14:textId="77777777" w:rsidR="00A401CE" w:rsidRPr="00ED3445" w:rsidRDefault="00A401CE" w:rsidP="00A401CE">
      <w:pPr>
        <w:pStyle w:val="Default"/>
        <w:rPr>
          <w:sz w:val="21"/>
          <w:szCs w:val="21"/>
        </w:rPr>
      </w:pPr>
    </w:p>
    <w:p w14:paraId="5363192C" w14:textId="2A7D0404" w:rsidR="007532F3" w:rsidRPr="00ED3445" w:rsidRDefault="00EA199C" w:rsidP="00EA199C">
      <w:pPr>
        <w:pStyle w:val="Default"/>
        <w:numPr>
          <w:ilvl w:val="0"/>
          <w:numId w:val="9"/>
        </w:numPr>
        <w:rPr>
          <w:color w:val="auto"/>
          <w:sz w:val="21"/>
          <w:szCs w:val="21"/>
        </w:rPr>
      </w:pPr>
      <w:r w:rsidRPr="00EA199C">
        <w:rPr>
          <w:sz w:val="21"/>
          <w:szCs w:val="21"/>
        </w:rPr>
        <w:t xml:space="preserve">The projects anticipated to be awarded during the triennial period are </w:t>
      </w:r>
      <w:proofErr w:type="gramStart"/>
      <w:r w:rsidRPr="00EA199C">
        <w:rPr>
          <w:sz w:val="21"/>
          <w:szCs w:val="21"/>
        </w:rPr>
        <w:t>similar to</w:t>
      </w:r>
      <w:proofErr w:type="gramEnd"/>
      <w:r w:rsidRPr="00EA199C">
        <w:rPr>
          <w:sz w:val="21"/>
          <w:szCs w:val="21"/>
        </w:rPr>
        <w:t xml:space="preserve"> those awarded in the recent past </w:t>
      </w:r>
      <w:r w:rsidR="003A08AA" w:rsidRPr="0016134C">
        <w:rPr>
          <w:sz w:val="21"/>
          <w:szCs w:val="21"/>
        </w:rPr>
        <w:t>ETD</w:t>
      </w:r>
      <w:r>
        <w:rPr>
          <w:sz w:val="21"/>
          <w:szCs w:val="21"/>
        </w:rPr>
        <w:t>.</w:t>
      </w:r>
      <w:r w:rsidR="003A08AA" w:rsidRPr="0016134C">
        <w:rPr>
          <w:sz w:val="21"/>
          <w:szCs w:val="21"/>
        </w:rPr>
        <w:t xml:space="preserve"> </w:t>
      </w:r>
      <w:r w:rsidR="007532F3" w:rsidRPr="00C1061E">
        <w:rPr>
          <w:color w:val="auto"/>
          <w:sz w:val="21"/>
          <w:szCs w:val="21"/>
        </w:rPr>
        <w:t xml:space="preserve">As a result, the District </w:t>
      </w:r>
      <w:r w:rsidR="00D02791">
        <w:rPr>
          <w:color w:val="auto"/>
          <w:sz w:val="21"/>
          <w:szCs w:val="21"/>
        </w:rPr>
        <w:t xml:space="preserve">does see a need to adjust </w:t>
      </w:r>
      <w:r w:rsidR="00CE0897" w:rsidRPr="00C1061E">
        <w:rPr>
          <w:color w:val="auto"/>
          <w:sz w:val="21"/>
          <w:szCs w:val="21"/>
        </w:rPr>
        <w:t>the</w:t>
      </w:r>
      <w:r w:rsidR="009B5A43" w:rsidRPr="00C1061E">
        <w:rPr>
          <w:color w:val="auto"/>
          <w:sz w:val="21"/>
          <w:szCs w:val="21"/>
        </w:rPr>
        <w:t xml:space="preserve"> goal</w:t>
      </w:r>
      <w:r w:rsidR="007532F3" w:rsidRPr="00C1061E">
        <w:rPr>
          <w:color w:val="auto"/>
          <w:sz w:val="21"/>
          <w:szCs w:val="21"/>
        </w:rPr>
        <w:t xml:space="preserve"> of </w:t>
      </w:r>
      <w:r w:rsidR="0073331F">
        <w:rPr>
          <w:color w:val="auto"/>
          <w:sz w:val="21"/>
          <w:szCs w:val="21"/>
        </w:rPr>
        <w:t>1.76 %</w:t>
      </w:r>
    </w:p>
    <w:p w14:paraId="43CD7C36" w14:textId="77777777" w:rsidR="00FE3884" w:rsidRPr="00ED3445" w:rsidRDefault="00FE3884" w:rsidP="00DF5922">
      <w:pPr>
        <w:pStyle w:val="Default"/>
        <w:rPr>
          <w:color w:val="auto"/>
          <w:sz w:val="21"/>
          <w:szCs w:val="21"/>
        </w:rPr>
      </w:pPr>
    </w:p>
    <w:p w14:paraId="4F3ECE17" w14:textId="77777777" w:rsidR="0003007B" w:rsidRDefault="00DF5922" w:rsidP="00DF5922">
      <w:pPr>
        <w:pStyle w:val="Default"/>
        <w:rPr>
          <w:b/>
          <w:bCs/>
          <w:color w:val="auto"/>
          <w:sz w:val="21"/>
          <w:szCs w:val="21"/>
        </w:rPr>
      </w:pPr>
      <w:r w:rsidRPr="00ED3445">
        <w:rPr>
          <w:b/>
          <w:bCs/>
          <w:color w:val="auto"/>
          <w:sz w:val="21"/>
          <w:szCs w:val="21"/>
        </w:rPr>
        <w:t>CALCULATING RACE NEUTRAL</w:t>
      </w:r>
      <w:r w:rsidR="00046E4F" w:rsidRPr="00ED3445">
        <w:rPr>
          <w:b/>
          <w:bCs/>
          <w:color w:val="auto"/>
          <w:sz w:val="21"/>
          <w:szCs w:val="21"/>
        </w:rPr>
        <w:t>/RACE CONSCIOUS</w:t>
      </w:r>
      <w:r w:rsidRPr="00ED3445">
        <w:rPr>
          <w:b/>
          <w:bCs/>
          <w:color w:val="auto"/>
          <w:sz w:val="21"/>
          <w:szCs w:val="21"/>
        </w:rPr>
        <w:t xml:space="preserve"> SPLIT </w:t>
      </w:r>
    </w:p>
    <w:p w14:paraId="75695E7E" w14:textId="77777777" w:rsidR="00935B90" w:rsidRPr="00ED3445" w:rsidRDefault="00935B90" w:rsidP="00DF5922">
      <w:pPr>
        <w:pStyle w:val="Default"/>
        <w:rPr>
          <w:b/>
          <w:bCs/>
          <w:color w:val="auto"/>
          <w:sz w:val="21"/>
          <w:szCs w:val="21"/>
        </w:rPr>
      </w:pPr>
    </w:p>
    <w:p w14:paraId="5EB22B64" w14:textId="0E7B0771" w:rsidR="00AE5890" w:rsidRPr="00ED3445" w:rsidRDefault="00DF5922" w:rsidP="00F652AA">
      <w:pPr>
        <w:pStyle w:val="Default"/>
        <w:rPr>
          <w:color w:val="auto"/>
          <w:sz w:val="21"/>
          <w:szCs w:val="21"/>
        </w:rPr>
      </w:pPr>
      <w:r w:rsidRPr="00ED3445">
        <w:rPr>
          <w:color w:val="auto"/>
          <w:sz w:val="21"/>
          <w:szCs w:val="21"/>
        </w:rPr>
        <w:t xml:space="preserve">In determining the level of potential race-neutral participation, the District </w:t>
      </w:r>
      <w:r w:rsidR="0003007B" w:rsidRPr="00ED3445">
        <w:rPr>
          <w:color w:val="auto"/>
          <w:sz w:val="21"/>
          <w:szCs w:val="21"/>
        </w:rPr>
        <w:t xml:space="preserve">should </w:t>
      </w:r>
      <w:r w:rsidRPr="00ED3445">
        <w:rPr>
          <w:color w:val="auto"/>
          <w:sz w:val="21"/>
          <w:szCs w:val="21"/>
        </w:rPr>
        <w:t>review past performance against the DBE goal and looked at historic levels of race/gender neutral participation</w:t>
      </w:r>
      <w:r w:rsidR="0003007B" w:rsidRPr="00ED3445">
        <w:rPr>
          <w:color w:val="auto"/>
          <w:sz w:val="21"/>
          <w:szCs w:val="21"/>
        </w:rPr>
        <w:t xml:space="preserve">.  </w:t>
      </w:r>
    </w:p>
    <w:p w14:paraId="761ABE72" w14:textId="77777777" w:rsidR="00FE3884" w:rsidRPr="00ED3445" w:rsidRDefault="00FE3884" w:rsidP="00DF78DB">
      <w:pPr>
        <w:pStyle w:val="Default"/>
        <w:rPr>
          <w:sz w:val="21"/>
          <w:szCs w:val="21"/>
        </w:rPr>
      </w:pPr>
    </w:p>
    <w:tbl>
      <w:tblPr>
        <w:tblStyle w:val="TableGrid"/>
        <w:tblW w:w="0" w:type="auto"/>
        <w:tblInd w:w="720" w:type="dxa"/>
        <w:tblLook w:val="04A0" w:firstRow="1" w:lastRow="0" w:firstColumn="1" w:lastColumn="0" w:noHBand="0" w:noVBand="1"/>
      </w:tblPr>
      <w:tblGrid>
        <w:gridCol w:w="1255"/>
        <w:gridCol w:w="1530"/>
        <w:gridCol w:w="2160"/>
        <w:gridCol w:w="1400"/>
        <w:gridCol w:w="1710"/>
      </w:tblGrid>
      <w:tr w:rsidR="00FE3884" w:rsidRPr="00A95A0D" w14:paraId="6A60EE01" w14:textId="77777777">
        <w:tc>
          <w:tcPr>
            <w:tcW w:w="1255" w:type="dxa"/>
          </w:tcPr>
          <w:p w14:paraId="7B09055C" w14:textId="77777777" w:rsidR="00FE3884" w:rsidRPr="00A95A0D" w:rsidRDefault="00FE3884">
            <w:pPr>
              <w:pStyle w:val="Default"/>
              <w:jc w:val="center"/>
              <w:rPr>
                <w:sz w:val="21"/>
                <w:szCs w:val="21"/>
              </w:rPr>
            </w:pPr>
            <w:r w:rsidRPr="00A95A0D">
              <w:rPr>
                <w:sz w:val="21"/>
                <w:szCs w:val="21"/>
              </w:rPr>
              <w:t>FY Year</w:t>
            </w:r>
          </w:p>
        </w:tc>
        <w:tc>
          <w:tcPr>
            <w:tcW w:w="1530" w:type="dxa"/>
          </w:tcPr>
          <w:p w14:paraId="241F94A2" w14:textId="76E4A7FB" w:rsidR="00FE3884" w:rsidRPr="00A95A0D" w:rsidRDefault="00FE3884">
            <w:pPr>
              <w:pStyle w:val="Default"/>
              <w:rPr>
                <w:sz w:val="21"/>
                <w:szCs w:val="21"/>
              </w:rPr>
            </w:pPr>
            <w:r w:rsidRPr="00A95A0D">
              <w:rPr>
                <w:sz w:val="21"/>
                <w:szCs w:val="21"/>
              </w:rPr>
              <w:t>DBE Goal</w:t>
            </w:r>
            <w:r w:rsidR="001B21C4">
              <w:rPr>
                <w:sz w:val="21"/>
                <w:szCs w:val="21"/>
              </w:rPr>
              <w:t xml:space="preserve"> (%)</w:t>
            </w:r>
          </w:p>
        </w:tc>
        <w:tc>
          <w:tcPr>
            <w:tcW w:w="2160" w:type="dxa"/>
          </w:tcPr>
          <w:p w14:paraId="6A95C837" w14:textId="77777777" w:rsidR="00FE3884" w:rsidRPr="00A95A0D" w:rsidRDefault="00FE3884">
            <w:pPr>
              <w:pStyle w:val="Default"/>
              <w:rPr>
                <w:sz w:val="21"/>
                <w:szCs w:val="21"/>
              </w:rPr>
            </w:pPr>
            <w:r w:rsidRPr="00A95A0D">
              <w:rPr>
                <w:sz w:val="21"/>
                <w:szCs w:val="21"/>
              </w:rPr>
              <w:t>DBE Participation</w:t>
            </w:r>
          </w:p>
        </w:tc>
        <w:tc>
          <w:tcPr>
            <w:tcW w:w="716" w:type="dxa"/>
          </w:tcPr>
          <w:p w14:paraId="0F2EDD1F" w14:textId="77777777" w:rsidR="00FE3884" w:rsidRPr="00A95A0D" w:rsidRDefault="00FE3884">
            <w:pPr>
              <w:pStyle w:val="Default"/>
              <w:rPr>
                <w:sz w:val="21"/>
                <w:szCs w:val="21"/>
              </w:rPr>
            </w:pPr>
            <w:r w:rsidRPr="00A95A0D">
              <w:rPr>
                <w:sz w:val="21"/>
                <w:szCs w:val="21"/>
              </w:rPr>
              <w:t xml:space="preserve">Differences </w:t>
            </w:r>
          </w:p>
        </w:tc>
        <w:tc>
          <w:tcPr>
            <w:tcW w:w="1710" w:type="dxa"/>
          </w:tcPr>
          <w:p w14:paraId="13E59A66" w14:textId="77777777" w:rsidR="00FE3884" w:rsidRPr="00A95A0D" w:rsidRDefault="00FE3884">
            <w:pPr>
              <w:pStyle w:val="Default"/>
              <w:rPr>
                <w:sz w:val="21"/>
                <w:szCs w:val="21"/>
              </w:rPr>
            </w:pPr>
            <w:r w:rsidRPr="00A95A0D">
              <w:rPr>
                <w:sz w:val="21"/>
                <w:szCs w:val="21"/>
              </w:rPr>
              <w:t xml:space="preserve">Race Neutral </w:t>
            </w:r>
          </w:p>
        </w:tc>
      </w:tr>
      <w:tr w:rsidR="00FE3884" w:rsidRPr="00A95A0D" w14:paraId="402F9272" w14:textId="77777777">
        <w:tc>
          <w:tcPr>
            <w:tcW w:w="1255" w:type="dxa"/>
          </w:tcPr>
          <w:p w14:paraId="239789FC" w14:textId="40E7D38D" w:rsidR="00FE3884" w:rsidRPr="00A95A0D" w:rsidRDefault="00FE3884">
            <w:pPr>
              <w:pStyle w:val="Default"/>
              <w:rPr>
                <w:sz w:val="21"/>
                <w:szCs w:val="21"/>
              </w:rPr>
            </w:pPr>
            <w:r w:rsidRPr="00A95A0D">
              <w:rPr>
                <w:sz w:val="21"/>
                <w:szCs w:val="21"/>
              </w:rPr>
              <w:t>FY 20</w:t>
            </w:r>
            <w:r w:rsidR="00224867">
              <w:rPr>
                <w:sz w:val="21"/>
                <w:szCs w:val="21"/>
              </w:rPr>
              <w:t>21</w:t>
            </w:r>
          </w:p>
        </w:tc>
        <w:tc>
          <w:tcPr>
            <w:tcW w:w="1530" w:type="dxa"/>
          </w:tcPr>
          <w:p w14:paraId="0795586D" w14:textId="2FAE2D03" w:rsidR="00FE3884" w:rsidRPr="00C1061E" w:rsidRDefault="00FE3884">
            <w:pPr>
              <w:pStyle w:val="Default"/>
              <w:rPr>
                <w:sz w:val="21"/>
                <w:szCs w:val="21"/>
              </w:rPr>
            </w:pPr>
            <w:r w:rsidRPr="00C1061E">
              <w:rPr>
                <w:sz w:val="21"/>
                <w:szCs w:val="21"/>
              </w:rPr>
              <w:t>2.3</w:t>
            </w:r>
            <w:r w:rsidR="00DF5846">
              <w:rPr>
                <w:sz w:val="21"/>
                <w:szCs w:val="21"/>
              </w:rPr>
              <w:t>0</w:t>
            </w:r>
            <w:r w:rsidRPr="00C1061E">
              <w:rPr>
                <w:sz w:val="21"/>
                <w:szCs w:val="21"/>
              </w:rPr>
              <w:t>%</w:t>
            </w:r>
          </w:p>
        </w:tc>
        <w:tc>
          <w:tcPr>
            <w:tcW w:w="2160" w:type="dxa"/>
          </w:tcPr>
          <w:p w14:paraId="076DF2D7" w14:textId="03F37C64" w:rsidR="00FE3884" w:rsidRPr="00C1061E" w:rsidRDefault="00EA307D">
            <w:pPr>
              <w:pStyle w:val="Default"/>
              <w:rPr>
                <w:sz w:val="21"/>
                <w:szCs w:val="21"/>
              </w:rPr>
            </w:pPr>
            <w:r w:rsidRPr="00C1061E">
              <w:rPr>
                <w:sz w:val="21"/>
                <w:szCs w:val="21"/>
              </w:rPr>
              <w:t>0.00 %</w:t>
            </w:r>
          </w:p>
        </w:tc>
        <w:tc>
          <w:tcPr>
            <w:tcW w:w="716" w:type="dxa"/>
          </w:tcPr>
          <w:p w14:paraId="2009E026" w14:textId="4FEDAFB7" w:rsidR="00FE3884" w:rsidRPr="00C1061E" w:rsidRDefault="001B21C4">
            <w:pPr>
              <w:pStyle w:val="Default"/>
              <w:rPr>
                <w:sz w:val="21"/>
                <w:szCs w:val="21"/>
              </w:rPr>
            </w:pPr>
            <w:r>
              <w:rPr>
                <w:sz w:val="21"/>
                <w:szCs w:val="21"/>
              </w:rPr>
              <w:t>(2.30) %</w:t>
            </w:r>
          </w:p>
        </w:tc>
        <w:tc>
          <w:tcPr>
            <w:tcW w:w="1710" w:type="dxa"/>
          </w:tcPr>
          <w:p w14:paraId="35E8D491" w14:textId="78029441" w:rsidR="00FE3884" w:rsidRPr="00C1061E" w:rsidRDefault="004F47B5">
            <w:pPr>
              <w:pStyle w:val="Default"/>
              <w:rPr>
                <w:sz w:val="21"/>
                <w:szCs w:val="21"/>
              </w:rPr>
            </w:pPr>
            <w:r w:rsidRPr="00C1061E">
              <w:rPr>
                <w:sz w:val="21"/>
                <w:szCs w:val="21"/>
              </w:rPr>
              <w:t>0.00 %</w:t>
            </w:r>
          </w:p>
        </w:tc>
      </w:tr>
      <w:tr w:rsidR="00FE3884" w:rsidRPr="00A95A0D" w14:paraId="176760A1" w14:textId="77777777">
        <w:tc>
          <w:tcPr>
            <w:tcW w:w="1255" w:type="dxa"/>
          </w:tcPr>
          <w:p w14:paraId="7C11FC19" w14:textId="0A50321F" w:rsidR="00FE3884" w:rsidRPr="00A95A0D" w:rsidRDefault="00FE3884">
            <w:pPr>
              <w:pStyle w:val="Default"/>
              <w:rPr>
                <w:sz w:val="21"/>
                <w:szCs w:val="21"/>
              </w:rPr>
            </w:pPr>
            <w:r w:rsidRPr="00A95A0D">
              <w:rPr>
                <w:sz w:val="21"/>
                <w:szCs w:val="21"/>
              </w:rPr>
              <w:t>FY 20</w:t>
            </w:r>
            <w:r w:rsidR="00224867">
              <w:rPr>
                <w:sz w:val="21"/>
                <w:szCs w:val="21"/>
              </w:rPr>
              <w:t>22</w:t>
            </w:r>
          </w:p>
        </w:tc>
        <w:tc>
          <w:tcPr>
            <w:tcW w:w="1530" w:type="dxa"/>
          </w:tcPr>
          <w:p w14:paraId="59013F5F" w14:textId="4801A8ED" w:rsidR="00FE3884" w:rsidRPr="00C1061E" w:rsidRDefault="00FE3884">
            <w:pPr>
              <w:pStyle w:val="Default"/>
              <w:rPr>
                <w:sz w:val="21"/>
                <w:szCs w:val="21"/>
              </w:rPr>
            </w:pPr>
            <w:r w:rsidRPr="00C1061E">
              <w:rPr>
                <w:sz w:val="21"/>
                <w:szCs w:val="21"/>
              </w:rPr>
              <w:t>2.3</w:t>
            </w:r>
            <w:r w:rsidR="00DF5846">
              <w:rPr>
                <w:sz w:val="21"/>
                <w:szCs w:val="21"/>
              </w:rPr>
              <w:t>0</w:t>
            </w:r>
            <w:r w:rsidRPr="00C1061E">
              <w:rPr>
                <w:sz w:val="21"/>
                <w:szCs w:val="21"/>
              </w:rPr>
              <w:t>%</w:t>
            </w:r>
          </w:p>
        </w:tc>
        <w:tc>
          <w:tcPr>
            <w:tcW w:w="2160" w:type="dxa"/>
          </w:tcPr>
          <w:p w14:paraId="1FE8F5C2" w14:textId="1A2B0376" w:rsidR="00FE3884" w:rsidRPr="00C1061E" w:rsidRDefault="00EA307D">
            <w:pPr>
              <w:pStyle w:val="Default"/>
              <w:rPr>
                <w:sz w:val="21"/>
                <w:szCs w:val="21"/>
              </w:rPr>
            </w:pPr>
            <w:r w:rsidRPr="00C1061E">
              <w:rPr>
                <w:sz w:val="21"/>
                <w:szCs w:val="21"/>
              </w:rPr>
              <w:t>0.00 %</w:t>
            </w:r>
          </w:p>
        </w:tc>
        <w:tc>
          <w:tcPr>
            <w:tcW w:w="716" w:type="dxa"/>
          </w:tcPr>
          <w:p w14:paraId="4728C993" w14:textId="69426010" w:rsidR="001B21C4" w:rsidRPr="00C1061E" w:rsidRDefault="001B21C4">
            <w:pPr>
              <w:pStyle w:val="Default"/>
              <w:rPr>
                <w:sz w:val="21"/>
                <w:szCs w:val="21"/>
              </w:rPr>
            </w:pPr>
            <w:r>
              <w:rPr>
                <w:sz w:val="21"/>
                <w:szCs w:val="21"/>
              </w:rPr>
              <w:t>(</w:t>
            </w:r>
            <w:r w:rsidR="00DF78DB">
              <w:rPr>
                <w:sz w:val="21"/>
                <w:szCs w:val="21"/>
              </w:rPr>
              <w:t>2.30) %</w:t>
            </w:r>
          </w:p>
        </w:tc>
        <w:tc>
          <w:tcPr>
            <w:tcW w:w="1710" w:type="dxa"/>
          </w:tcPr>
          <w:p w14:paraId="02C9EBCA" w14:textId="5DEF95E1" w:rsidR="00FE3884" w:rsidRPr="00C1061E" w:rsidRDefault="004F47B5">
            <w:pPr>
              <w:pStyle w:val="Default"/>
              <w:rPr>
                <w:sz w:val="21"/>
                <w:szCs w:val="21"/>
              </w:rPr>
            </w:pPr>
            <w:r w:rsidRPr="00C1061E">
              <w:rPr>
                <w:sz w:val="21"/>
                <w:szCs w:val="21"/>
              </w:rPr>
              <w:t>0.00 %</w:t>
            </w:r>
          </w:p>
        </w:tc>
      </w:tr>
      <w:tr w:rsidR="00FE3884" w:rsidRPr="00A95A0D" w14:paraId="1843C54A" w14:textId="77777777">
        <w:tc>
          <w:tcPr>
            <w:tcW w:w="1255" w:type="dxa"/>
          </w:tcPr>
          <w:p w14:paraId="73F2B576" w14:textId="5A60A9F4" w:rsidR="00FE3884" w:rsidRPr="00A95A0D" w:rsidRDefault="00FE3884">
            <w:pPr>
              <w:pStyle w:val="Default"/>
              <w:rPr>
                <w:sz w:val="21"/>
                <w:szCs w:val="21"/>
              </w:rPr>
            </w:pPr>
            <w:r w:rsidRPr="00A95A0D">
              <w:rPr>
                <w:sz w:val="21"/>
                <w:szCs w:val="21"/>
              </w:rPr>
              <w:t>FY 20</w:t>
            </w:r>
            <w:r w:rsidR="00224867">
              <w:rPr>
                <w:sz w:val="21"/>
                <w:szCs w:val="21"/>
              </w:rPr>
              <w:t>23</w:t>
            </w:r>
          </w:p>
        </w:tc>
        <w:tc>
          <w:tcPr>
            <w:tcW w:w="1530" w:type="dxa"/>
          </w:tcPr>
          <w:p w14:paraId="412870D2" w14:textId="02BA67F7" w:rsidR="00FE3884" w:rsidRPr="00C1061E" w:rsidRDefault="00FE3884">
            <w:pPr>
              <w:pStyle w:val="Default"/>
              <w:rPr>
                <w:sz w:val="21"/>
                <w:szCs w:val="21"/>
              </w:rPr>
            </w:pPr>
            <w:r w:rsidRPr="00C1061E">
              <w:rPr>
                <w:sz w:val="21"/>
                <w:szCs w:val="21"/>
              </w:rPr>
              <w:t>2.3</w:t>
            </w:r>
            <w:r w:rsidR="00DF5846">
              <w:rPr>
                <w:sz w:val="21"/>
                <w:szCs w:val="21"/>
              </w:rPr>
              <w:t>0</w:t>
            </w:r>
            <w:r w:rsidRPr="00C1061E">
              <w:rPr>
                <w:sz w:val="21"/>
                <w:szCs w:val="21"/>
              </w:rPr>
              <w:t>%</w:t>
            </w:r>
          </w:p>
        </w:tc>
        <w:tc>
          <w:tcPr>
            <w:tcW w:w="2160" w:type="dxa"/>
          </w:tcPr>
          <w:p w14:paraId="477CF2FE" w14:textId="5C7EAAD9" w:rsidR="00FE3884" w:rsidRPr="00C1061E" w:rsidRDefault="00EA307D">
            <w:pPr>
              <w:pStyle w:val="Default"/>
              <w:rPr>
                <w:sz w:val="21"/>
                <w:szCs w:val="21"/>
              </w:rPr>
            </w:pPr>
            <w:r w:rsidRPr="00C1061E">
              <w:rPr>
                <w:sz w:val="21"/>
                <w:szCs w:val="21"/>
              </w:rPr>
              <w:t>1.38</w:t>
            </w:r>
            <w:r w:rsidR="00FE3884" w:rsidRPr="00C1061E">
              <w:rPr>
                <w:sz w:val="21"/>
                <w:szCs w:val="21"/>
              </w:rPr>
              <w:t xml:space="preserve"> </w:t>
            </w:r>
            <w:r w:rsidRPr="00C1061E">
              <w:rPr>
                <w:sz w:val="21"/>
                <w:szCs w:val="21"/>
              </w:rPr>
              <w:t>%</w:t>
            </w:r>
          </w:p>
        </w:tc>
        <w:tc>
          <w:tcPr>
            <w:tcW w:w="716" w:type="dxa"/>
          </w:tcPr>
          <w:p w14:paraId="1F82D7C9" w14:textId="3FB0B34E" w:rsidR="00FE3884" w:rsidRPr="00C1061E" w:rsidRDefault="001B21C4">
            <w:pPr>
              <w:pStyle w:val="Default"/>
              <w:rPr>
                <w:sz w:val="21"/>
                <w:szCs w:val="21"/>
              </w:rPr>
            </w:pPr>
            <w:r>
              <w:rPr>
                <w:sz w:val="21"/>
                <w:szCs w:val="21"/>
              </w:rPr>
              <w:t>(</w:t>
            </w:r>
            <w:r w:rsidR="00EA307D" w:rsidRPr="00C1061E">
              <w:rPr>
                <w:sz w:val="21"/>
                <w:szCs w:val="21"/>
              </w:rPr>
              <w:t>0.92</w:t>
            </w:r>
            <w:r>
              <w:rPr>
                <w:sz w:val="21"/>
                <w:szCs w:val="21"/>
              </w:rPr>
              <w:t>)</w:t>
            </w:r>
            <w:r w:rsidR="00EA307D" w:rsidRPr="00C1061E">
              <w:rPr>
                <w:sz w:val="21"/>
                <w:szCs w:val="21"/>
              </w:rPr>
              <w:t xml:space="preserve"> %</w:t>
            </w:r>
          </w:p>
        </w:tc>
        <w:tc>
          <w:tcPr>
            <w:tcW w:w="1710" w:type="dxa"/>
          </w:tcPr>
          <w:p w14:paraId="799D07DE" w14:textId="780BEDFE" w:rsidR="00FE3884" w:rsidRPr="00C1061E" w:rsidRDefault="001B21C4">
            <w:pPr>
              <w:pStyle w:val="Default"/>
              <w:rPr>
                <w:sz w:val="21"/>
                <w:szCs w:val="21"/>
              </w:rPr>
            </w:pPr>
            <w:r>
              <w:rPr>
                <w:sz w:val="21"/>
                <w:szCs w:val="21"/>
              </w:rPr>
              <w:t>1.38</w:t>
            </w:r>
            <w:r w:rsidR="004F47B5" w:rsidRPr="00C1061E">
              <w:rPr>
                <w:sz w:val="21"/>
                <w:szCs w:val="21"/>
              </w:rPr>
              <w:t xml:space="preserve"> %</w:t>
            </w:r>
          </w:p>
        </w:tc>
      </w:tr>
    </w:tbl>
    <w:p w14:paraId="0A74E926" w14:textId="77777777" w:rsidR="003C155B" w:rsidRDefault="003C155B" w:rsidP="00F652AA">
      <w:pPr>
        <w:pStyle w:val="Default"/>
        <w:rPr>
          <w:color w:val="000000" w:themeColor="text1"/>
          <w:sz w:val="21"/>
          <w:szCs w:val="21"/>
        </w:rPr>
      </w:pPr>
    </w:p>
    <w:p w14:paraId="5CF5F930" w14:textId="61A0954A" w:rsidR="00D53BEF" w:rsidRPr="00A95A0D" w:rsidRDefault="00ED3445" w:rsidP="00F652AA">
      <w:pPr>
        <w:pStyle w:val="Default"/>
        <w:rPr>
          <w:color w:val="000000" w:themeColor="text1"/>
          <w:sz w:val="21"/>
          <w:szCs w:val="21"/>
        </w:rPr>
      </w:pPr>
      <w:r w:rsidRPr="00A95A0D">
        <w:rPr>
          <w:color w:val="000000" w:themeColor="text1"/>
          <w:sz w:val="21"/>
          <w:szCs w:val="21"/>
        </w:rPr>
        <w:t>T</w:t>
      </w:r>
      <w:r w:rsidR="00D53BEF" w:rsidRPr="00A95A0D">
        <w:rPr>
          <w:color w:val="000000" w:themeColor="text1"/>
          <w:sz w:val="21"/>
          <w:szCs w:val="21"/>
        </w:rPr>
        <w:t>he average For the Variation between goals and actual Performance is (</w:t>
      </w:r>
      <w:r w:rsidR="00DF78DB">
        <w:rPr>
          <w:color w:val="000000" w:themeColor="text1"/>
          <w:sz w:val="21"/>
          <w:szCs w:val="21"/>
        </w:rPr>
        <w:t>1</w:t>
      </w:r>
      <w:r w:rsidR="00574BF6">
        <w:rPr>
          <w:color w:val="000000" w:themeColor="text1"/>
          <w:sz w:val="21"/>
          <w:szCs w:val="21"/>
        </w:rPr>
        <w:t>.</w:t>
      </w:r>
      <w:r w:rsidR="00DF78DB">
        <w:rPr>
          <w:color w:val="000000" w:themeColor="text1"/>
          <w:sz w:val="21"/>
          <w:szCs w:val="21"/>
        </w:rPr>
        <w:t>84</w:t>
      </w:r>
      <w:r w:rsidR="00574BF6">
        <w:rPr>
          <w:color w:val="000000" w:themeColor="text1"/>
          <w:sz w:val="21"/>
          <w:szCs w:val="21"/>
        </w:rPr>
        <w:t xml:space="preserve">%) </w:t>
      </w:r>
    </w:p>
    <w:p w14:paraId="5D164524" w14:textId="3EA16515" w:rsidR="00D53BEF" w:rsidRPr="00A95A0D" w:rsidRDefault="00D53BEF" w:rsidP="00F652AA">
      <w:pPr>
        <w:pStyle w:val="Default"/>
        <w:rPr>
          <w:color w:val="000000" w:themeColor="text1"/>
          <w:sz w:val="21"/>
          <w:szCs w:val="21"/>
        </w:rPr>
      </w:pPr>
      <w:r w:rsidRPr="00A95A0D">
        <w:rPr>
          <w:color w:val="000000" w:themeColor="text1"/>
          <w:sz w:val="21"/>
          <w:szCs w:val="21"/>
        </w:rPr>
        <w:t>The average value of the historic level of race neutral performance is (</w:t>
      </w:r>
      <w:r w:rsidR="00574BF6">
        <w:rPr>
          <w:color w:val="000000" w:themeColor="text1"/>
          <w:sz w:val="21"/>
          <w:szCs w:val="21"/>
        </w:rPr>
        <w:t>0.46</w:t>
      </w:r>
      <w:r w:rsidR="0082123F">
        <w:rPr>
          <w:color w:val="000000" w:themeColor="text1"/>
          <w:sz w:val="21"/>
          <w:szCs w:val="21"/>
        </w:rPr>
        <w:t>%</w:t>
      </w:r>
      <w:r w:rsidRPr="00A95A0D">
        <w:rPr>
          <w:color w:val="000000" w:themeColor="text1"/>
          <w:sz w:val="21"/>
          <w:szCs w:val="21"/>
        </w:rPr>
        <w:t>)</w:t>
      </w:r>
    </w:p>
    <w:p w14:paraId="03CFCFF1" w14:textId="643CACCE" w:rsidR="00F652AA" w:rsidRPr="00A95A0D" w:rsidRDefault="00D53BEF" w:rsidP="00F652AA">
      <w:pPr>
        <w:pStyle w:val="Default"/>
        <w:rPr>
          <w:color w:val="000000" w:themeColor="text1"/>
          <w:sz w:val="21"/>
          <w:szCs w:val="21"/>
        </w:rPr>
      </w:pPr>
      <w:r w:rsidRPr="00A95A0D">
        <w:rPr>
          <w:color w:val="000000" w:themeColor="text1"/>
          <w:sz w:val="21"/>
          <w:szCs w:val="21"/>
        </w:rPr>
        <w:t xml:space="preserve">Taking the average of these two figures, gives a result </w:t>
      </w:r>
      <w:r w:rsidR="00DF62FF" w:rsidRPr="00A95A0D">
        <w:rPr>
          <w:color w:val="000000" w:themeColor="text1"/>
          <w:sz w:val="21"/>
          <w:szCs w:val="21"/>
        </w:rPr>
        <w:t>of (</w:t>
      </w:r>
      <w:r w:rsidR="00DE0BB5">
        <w:rPr>
          <w:color w:val="000000" w:themeColor="text1"/>
          <w:sz w:val="21"/>
          <w:szCs w:val="21"/>
        </w:rPr>
        <w:t>1.15</w:t>
      </w:r>
      <w:r w:rsidR="0082123F">
        <w:rPr>
          <w:color w:val="000000" w:themeColor="text1"/>
          <w:sz w:val="21"/>
          <w:szCs w:val="21"/>
        </w:rPr>
        <w:t>%</w:t>
      </w:r>
      <w:r w:rsidR="00827D07" w:rsidRPr="00A95A0D">
        <w:rPr>
          <w:color w:val="000000" w:themeColor="text1"/>
          <w:sz w:val="21"/>
          <w:szCs w:val="21"/>
        </w:rPr>
        <w:t xml:space="preserve">) </w:t>
      </w:r>
    </w:p>
    <w:p w14:paraId="79EF6438" w14:textId="77777777" w:rsidR="002B4BDA" w:rsidRPr="00A95A0D" w:rsidRDefault="002B4BDA" w:rsidP="002B4BDA">
      <w:pPr>
        <w:pStyle w:val="Default"/>
        <w:rPr>
          <w:color w:val="auto"/>
          <w:sz w:val="21"/>
          <w:szCs w:val="21"/>
        </w:rPr>
      </w:pPr>
    </w:p>
    <w:p w14:paraId="75CCF367" w14:textId="77777777" w:rsidR="001245FD" w:rsidRPr="00ED3445" w:rsidRDefault="001245FD" w:rsidP="002B4BDA">
      <w:pPr>
        <w:pStyle w:val="Default"/>
        <w:rPr>
          <w:color w:val="auto"/>
          <w:sz w:val="21"/>
          <w:szCs w:val="21"/>
        </w:rPr>
      </w:pPr>
    </w:p>
    <w:p w14:paraId="6FE4BE8A" w14:textId="6662C282" w:rsidR="00DF5922" w:rsidRPr="00ED3445" w:rsidRDefault="00DF5922" w:rsidP="002B4BDA">
      <w:pPr>
        <w:pStyle w:val="Default"/>
        <w:rPr>
          <w:color w:val="auto"/>
          <w:sz w:val="21"/>
          <w:szCs w:val="21"/>
        </w:rPr>
      </w:pPr>
      <w:r w:rsidRPr="00ED3445">
        <w:rPr>
          <w:color w:val="auto"/>
          <w:sz w:val="21"/>
          <w:szCs w:val="21"/>
        </w:rPr>
        <w:t xml:space="preserve">The District will meet the maximum feasible portion of its overall goal by using race-neutral means of facilitating DBE participation. The District will use the following race-neutral means to increase DBE participation: </w:t>
      </w:r>
    </w:p>
    <w:p w14:paraId="356E9A43" w14:textId="77777777" w:rsidR="0058566B" w:rsidRPr="00ED3445" w:rsidRDefault="0058566B" w:rsidP="002B4BDA">
      <w:pPr>
        <w:pStyle w:val="Default"/>
        <w:rPr>
          <w:color w:val="auto"/>
          <w:sz w:val="21"/>
          <w:szCs w:val="21"/>
        </w:rPr>
      </w:pPr>
    </w:p>
    <w:p w14:paraId="6F20C5FE" w14:textId="4A195247" w:rsidR="00DF5922" w:rsidRPr="00ED3445" w:rsidRDefault="00DF5922" w:rsidP="00B64CFB">
      <w:pPr>
        <w:pStyle w:val="Default"/>
        <w:numPr>
          <w:ilvl w:val="0"/>
          <w:numId w:val="7"/>
        </w:numPr>
        <w:spacing w:after="21"/>
        <w:rPr>
          <w:color w:val="auto"/>
          <w:sz w:val="21"/>
          <w:szCs w:val="21"/>
        </w:rPr>
      </w:pPr>
      <w:r w:rsidRPr="00ED3445">
        <w:rPr>
          <w:color w:val="auto"/>
          <w:sz w:val="21"/>
          <w:szCs w:val="21"/>
        </w:rPr>
        <w:t xml:space="preserve">Arrange solicitations, give date and times for the presentation of bids, quantities, specification, and delivery schedules in ways that facilitate DBE, and other small businesses, </w:t>
      </w:r>
      <w:r w:rsidR="00E10738" w:rsidRPr="00ED3445">
        <w:rPr>
          <w:color w:val="auto"/>
          <w:sz w:val="21"/>
          <w:szCs w:val="21"/>
        </w:rPr>
        <w:t>participation.</w:t>
      </w:r>
      <w:r w:rsidRPr="00ED3445">
        <w:rPr>
          <w:color w:val="auto"/>
          <w:sz w:val="21"/>
          <w:szCs w:val="21"/>
        </w:rPr>
        <w:t xml:space="preserve"> </w:t>
      </w:r>
    </w:p>
    <w:p w14:paraId="57589051" w14:textId="53B8BE2E" w:rsidR="00DF5922" w:rsidRPr="00ED3445" w:rsidRDefault="00DF5922" w:rsidP="00B64CFB">
      <w:pPr>
        <w:pStyle w:val="Default"/>
        <w:numPr>
          <w:ilvl w:val="0"/>
          <w:numId w:val="7"/>
        </w:numPr>
        <w:spacing w:after="21"/>
        <w:rPr>
          <w:color w:val="auto"/>
          <w:sz w:val="21"/>
          <w:szCs w:val="21"/>
        </w:rPr>
      </w:pPr>
      <w:r w:rsidRPr="00ED3445">
        <w:rPr>
          <w:color w:val="auto"/>
          <w:sz w:val="21"/>
          <w:szCs w:val="21"/>
        </w:rPr>
        <w:t xml:space="preserve">Provide technical assistance and other services upon </w:t>
      </w:r>
      <w:r w:rsidR="00E10738" w:rsidRPr="00ED3445">
        <w:rPr>
          <w:color w:val="auto"/>
          <w:sz w:val="21"/>
          <w:szCs w:val="21"/>
        </w:rPr>
        <w:t>request.</w:t>
      </w:r>
      <w:r w:rsidRPr="00ED3445">
        <w:rPr>
          <w:color w:val="auto"/>
          <w:sz w:val="21"/>
          <w:szCs w:val="21"/>
        </w:rPr>
        <w:t xml:space="preserve"> </w:t>
      </w:r>
    </w:p>
    <w:p w14:paraId="7BA554C1" w14:textId="6516CFA6" w:rsidR="00DF5922" w:rsidRPr="00ED3445" w:rsidRDefault="00B64CFB" w:rsidP="00B64CFB">
      <w:pPr>
        <w:pStyle w:val="Default"/>
        <w:numPr>
          <w:ilvl w:val="0"/>
          <w:numId w:val="7"/>
        </w:numPr>
        <w:spacing w:after="21"/>
        <w:rPr>
          <w:color w:val="auto"/>
          <w:sz w:val="21"/>
          <w:szCs w:val="21"/>
        </w:rPr>
      </w:pPr>
      <w:r w:rsidRPr="00ED3445">
        <w:rPr>
          <w:color w:val="auto"/>
          <w:sz w:val="21"/>
          <w:szCs w:val="21"/>
        </w:rPr>
        <w:t>C</w:t>
      </w:r>
      <w:r w:rsidR="00DF5922" w:rsidRPr="00ED3445">
        <w:rPr>
          <w:color w:val="auto"/>
          <w:sz w:val="21"/>
          <w:szCs w:val="21"/>
        </w:rPr>
        <w:t>onduct informational and communication workshops on contracting procedures, attend pre-bid and pre-construction meetings on specific contract opportunities</w:t>
      </w:r>
      <w:r w:rsidR="002B4BDA" w:rsidRPr="00ED3445">
        <w:rPr>
          <w:color w:val="auto"/>
          <w:sz w:val="21"/>
          <w:szCs w:val="21"/>
        </w:rPr>
        <w:t xml:space="preserve"> </w:t>
      </w:r>
      <w:r w:rsidR="00DF5922" w:rsidRPr="00ED3445">
        <w:rPr>
          <w:color w:val="auto"/>
          <w:sz w:val="21"/>
          <w:szCs w:val="21"/>
        </w:rPr>
        <w:t>(e.g., ensuring the inclusion of DBEs and other small businesses on mailing lists for bidders</w:t>
      </w:r>
      <w:r w:rsidR="00CE0897" w:rsidRPr="00ED3445">
        <w:rPr>
          <w:color w:val="auto"/>
          <w:sz w:val="21"/>
          <w:szCs w:val="21"/>
        </w:rPr>
        <w:t>),</w:t>
      </w:r>
      <w:r w:rsidR="00DF5922" w:rsidRPr="00ED3445">
        <w:rPr>
          <w:color w:val="auto"/>
          <w:sz w:val="21"/>
          <w:szCs w:val="21"/>
        </w:rPr>
        <w:t xml:space="preserve"> ensuring the dissemination of information, such as providing a list of subcontractors to bidders on prime </w:t>
      </w:r>
      <w:r w:rsidR="00CA11D4" w:rsidRPr="00ED3445">
        <w:rPr>
          <w:color w:val="auto"/>
          <w:sz w:val="21"/>
          <w:szCs w:val="21"/>
        </w:rPr>
        <w:t>contracts.</w:t>
      </w:r>
      <w:r w:rsidR="00DF5922" w:rsidRPr="00ED3445">
        <w:rPr>
          <w:color w:val="auto"/>
          <w:sz w:val="21"/>
          <w:szCs w:val="21"/>
        </w:rPr>
        <w:t xml:space="preserve"> </w:t>
      </w:r>
    </w:p>
    <w:p w14:paraId="10B16E72" w14:textId="1B073B56" w:rsidR="00DF5922" w:rsidRPr="00A95A0D" w:rsidRDefault="00DF5922" w:rsidP="00B64CFB">
      <w:pPr>
        <w:pStyle w:val="Default"/>
        <w:numPr>
          <w:ilvl w:val="0"/>
          <w:numId w:val="7"/>
        </w:numPr>
        <w:rPr>
          <w:color w:val="auto"/>
          <w:sz w:val="21"/>
          <w:szCs w:val="21"/>
        </w:rPr>
      </w:pPr>
      <w:r w:rsidRPr="00ED3445">
        <w:rPr>
          <w:color w:val="auto"/>
          <w:sz w:val="21"/>
          <w:szCs w:val="21"/>
        </w:rPr>
        <w:lastRenderedPageBreak/>
        <w:t>Distribute the C</w:t>
      </w:r>
      <w:r w:rsidR="002B4BDA" w:rsidRPr="00ED3445">
        <w:rPr>
          <w:color w:val="auto"/>
          <w:sz w:val="21"/>
          <w:szCs w:val="21"/>
        </w:rPr>
        <w:t>T</w:t>
      </w:r>
      <w:r w:rsidRPr="00ED3445">
        <w:rPr>
          <w:color w:val="auto"/>
          <w:sz w:val="21"/>
          <w:szCs w:val="21"/>
        </w:rPr>
        <w:t xml:space="preserve">DOT DBE directory information, to the widest feasible potential </w:t>
      </w:r>
      <w:r w:rsidRPr="00A95A0D">
        <w:rPr>
          <w:color w:val="auto"/>
          <w:sz w:val="21"/>
          <w:szCs w:val="21"/>
        </w:rPr>
        <w:t xml:space="preserve">prime contractors. </w:t>
      </w:r>
    </w:p>
    <w:p w14:paraId="7F7C1620" w14:textId="590FBD11" w:rsidR="00827D07" w:rsidRPr="00A95A0D" w:rsidRDefault="00827D07" w:rsidP="00B64CFB">
      <w:pPr>
        <w:pStyle w:val="Default"/>
        <w:numPr>
          <w:ilvl w:val="0"/>
          <w:numId w:val="7"/>
        </w:numPr>
        <w:rPr>
          <w:color w:val="auto"/>
          <w:sz w:val="21"/>
          <w:szCs w:val="21"/>
        </w:rPr>
      </w:pPr>
      <w:r w:rsidRPr="00A95A0D">
        <w:rPr>
          <w:sz w:val="21"/>
          <w:szCs w:val="21"/>
        </w:rPr>
        <w:t xml:space="preserve">Estuary </w:t>
      </w:r>
      <w:r w:rsidR="00186542" w:rsidRPr="00A95A0D">
        <w:rPr>
          <w:sz w:val="21"/>
          <w:szCs w:val="21"/>
        </w:rPr>
        <w:t>Transit will</w:t>
      </w:r>
      <w:r w:rsidRPr="00A95A0D">
        <w:rPr>
          <w:sz w:val="21"/>
          <w:szCs w:val="21"/>
        </w:rPr>
        <w:t xml:space="preserve"> continue to provide training and technical assistance through existing staff, application instructions, website DBE resources and a new oversight contractor coming on board to ensure all sub-recipients are fully aware of the requirements for DBE participation.</w:t>
      </w:r>
    </w:p>
    <w:p w14:paraId="7DA694B4" w14:textId="3676C49D" w:rsidR="00827D07" w:rsidRPr="00A95A0D" w:rsidRDefault="00827D07" w:rsidP="00B64CFB">
      <w:pPr>
        <w:pStyle w:val="Default"/>
        <w:numPr>
          <w:ilvl w:val="0"/>
          <w:numId w:val="7"/>
        </w:numPr>
        <w:rPr>
          <w:color w:val="auto"/>
          <w:sz w:val="21"/>
          <w:szCs w:val="21"/>
        </w:rPr>
      </w:pPr>
      <w:r w:rsidRPr="00A95A0D">
        <w:rPr>
          <w:sz w:val="21"/>
          <w:szCs w:val="21"/>
        </w:rPr>
        <w:t>Estuary Transit District will continue to proactively encourage specific goals for some of the sub-recipient construction and oversight contracts. For some small equipment and other low value asset procurements, race neutral procurements for all contracts will continue.</w:t>
      </w:r>
    </w:p>
    <w:p w14:paraId="01E6C87C" w14:textId="77777777" w:rsidR="00DF5922" w:rsidRPr="00ED3445" w:rsidRDefault="00DF5922" w:rsidP="00ED3445">
      <w:pPr>
        <w:pStyle w:val="Default"/>
        <w:rPr>
          <w:color w:val="auto"/>
          <w:sz w:val="21"/>
          <w:szCs w:val="21"/>
        </w:rPr>
      </w:pPr>
    </w:p>
    <w:p w14:paraId="0DA5F1F3" w14:textId="77777777" w:rsidR="00DF5922" w:rsidRPr="00ED3445" w:rsidRDefault="00DF5922" w:rsidP="00B64CFB">
      <w:pPr>
        <w:pStyle w:val="Default"/>
        <w:rPr>
          <w:color w:val="auto"/>
          <w:sz w:val="21"/>
          <w:szCs w:val="21"/>
        </w:rPr>
      </w:pPr>
      <w:r w:rsidRPr="00ED3445">
        <w:rPr>
          <w:color w:val="auto"/>
          <w:sz w:val="21"/>
          <w:szCs w:val="21"/>
        </w:rPr>
        <w:t>The District will adjust the estimated breakout of race-neutral and race-conscious participation as needed to reflect actual DBE participation. The District will track and report race-neutral and race-conscious participation separately. For reporting purposes, race-neutral DBE participation includes, but is not necessari</w:t>
      </w:r>
      <w:r w:rsidR="00B64CFB" w:rsidRPr="00ED3445">
        <w:rPr>
          <w:color w:val="auto"/>
          <w:sz w:val="21"/>
          <w:szCs w:val="21"/>
        </w:rPr>
        <w:t xml:space="preserve">ly limited to, the following: </w:t>
      </w:r>
    </w:p>
    <w:p w14:paraId="323FB3E6" w14:textId="77777777" w:rsidR="00B64CFB" w:rsidRPr="00ED3445" w:rsidRDefault="00B64CFB" w:rsidP="00B64CFB">
      <w:pPr>
        <w:pStyle w:val="Default"/>
        <w:rPr>
          <w:rFonts w:cstheme="minorBidi"/>
          <w:color w:val="auto"/>
          <w:sz w:val="21"/>
          <w:szCs w:val="21"/>
        </w:rPr>
      </w:pPr>
    </w:p>
    <w:p w14:paraId="50E54702" w14:textId="02F02290" w:rsidR="00DF5922" w:rsidRPr="00ED3445" w:rsidRDefault="00DF5922" w:rsidP="00B64CFB">
      <w:pPr>
        <w:pStyle w:val="Default"/>
        <w:numPr>
          <w:ilvl w:val="0"/>
          <w:numId w:val="6"/>
        </w:numPr>
        <w:spacing w:after="40"/>
        <w:rPr>
          <w:color w:val="auto"/>
          <w:sz w:val="21"/>
          <w:szCs w:val="21"/>
        </w:rPr>
      </w:pPr>
      <w:r w:rsidRPr="00ED3445">
        <w:rPr>
          <w:color w:val="auto"/>
          <w:sz w:val="21"/>
          <w:szCs w:val="21"/>
        </w:rPr>
        <w:t xml:space="preserve">DBE participation through a prime contract a DBE obtains through customary competitive procurement </w:t>
      </w:r>
      <w:r w:rsidR="00ED3445" w:rsidRPr="00ED3445">
        <w:rPr>
          <w:color w:val="auto"/>
          <w:sz w:val="21"/>
          <w:szCs w:val="21"/>
        </w:rPr>
        <w:t>procedures.</w:t>
      </w:r>
      <w:r w:rsidRPr="00ED3445">
        <w:rPr>
          <w:color w:val="auto"/>
          <w:sz w:val="21"/>
          <w:szCs w:val="21"/>
        </w:rPr>
        <w:t xml:space="preserve"> </w:t>
      </w:r>
    </w:p>
    <w:p w14:paraId="06E20A5F" w14:textId="50E9A83B" w:rsidR="00DF5922" w:rsidRPr="00ED3445" w:rsidRDefault="00DF5922" w:rsidP="00B64CFB">
      <w:pPr>
        <w:pStyle w:val="Default"/>
        <w:numPr>
          <w:ilvl w:val="0"/>
          <w:numId w:val="6"/>
        </w:numPr>
        <w:spacing w:after="40"/>
        <w:rPr>
          <w:color w:val="auto"/>
          <w:sz w:val="21"/>
          <w:szCs w:val="21"/>
        </w:rPr>
      </w:pPr>
      <w:r w:rsidRPr="00ED3445">
        <w:rPr>
          <w:color w:val="auto"/>
          <w:sz w:val="21"/>
          <w:szCs w:val="21"/>
        </w:rPr>
        <w:t>DBE participation through a subcontract on a prime contract that does not carry a DBE goal</w:t>
      </w:r>
      <w:r w:rsidR="00ED3445" w:rsidRPr="00ED3445">
        <w:rPr>
          <w:color w:val="auto"/>
          <w:sz w:val="21"/>
          <w:szCs w:val="21"/>
        </w:rPr>
        <w:t>.</w:t>
      </w:r>
    </w:p>
    <w:p w14:paraId="28B48E8B" w14:textId="4A87D38B" w:rsidR="00DF5922" w:rsidRPr="00ED3445" w:rsidRDefault="00DF5922" w:rsidP="00B64CFB">
      <w:pPr>
        <w:pStyle w:val="Default"/>
        <w:numPr>
          <w:ilvl w:val="0"/>
          <w:numId w:val="6"/>
        </w:numPr>
        <w:rPr>
          <w:color w:val="auto"/>
          <w:sz w:val="21"/>
          <w:szCs w:val="21"/>
        </w:rPr>
      </w:pPr>
      <w:r w:rsidRPr="00ED3445">
        <w:rPr>
          <w:color w:val="auto"/>
          <w:sz w:val="21"/>
          <w:szCs w:val="21"/>
        </w:rPr>
        <w:t>DBE participation on a prime contract exceeding a contract goal</w:t>
      </w:r>
      <w:r w:rsidR="008514E5">
        <w:rPr>
          <w:color w:val="auto"/>
          <w:sz w:val="21"/>
          <w:szCs w:val="21"/>
        </w:rPr>
        <w:t>.</w:t>
      </w:r>
    </w:p>
    <w:p w14:paraId="18089F41" w14:textId="1DD23511" w:rsidR="00A07B8F" w:rsidRPr="00ED3445" w:rsidRDefault="00A07B8F" w:rsidP="00A07B8F">
      <w:pPr>
        <w:pStyle w:val="Default"/>
        <w:rPr>
          <w:color w:val="auto"/>
          <w:sz w:val="21"/>
          <w:szCs w:val="21"/>
        </w:rPr>
      </w:pPr>
    </w:p>
    <w:p w14:paraId="31CD2E88" w14:textId="77777777" w:rsidR="00DF5922" w:rsidRPr="00ED3445" w:rsidRDefault="00DF5922" w:rsidP="00DF5922">
      <w:pPr>
        <w:pStyle w:val="Default"/>
        <w:rPr>
          <w:color w:val="auto"/>
          <w:sz w:val="21"/>
          <w:szCs w:val="21"/>
        </w:rPr>
      </w:pPr>
    </w:p>
    <w:p w14:paraId="277EEE8D" w14:textId="3B3788A6" w:rsidR="00DF5922" w:rsidRDefault="00DF5922" w:rsidP="00DF5922">
      <w:pPr>
        <w:pStyle w:val="Default"/>
        <w:rPr>
          <w:b/>
          <w:bCs/>
          <w:color w:val="auto"/>
          <w:sz w:val="21"/>
          <w:szCs w:val="21"/>
        </w:rPr>
      </w:pPr>
      <w:r w:rsidRPr="00ED3445">
        <w:rPr>
          <w:b/>
          <w:bCs/>
          <w:color w:val="auto"/>
          <w:sz w:val="21"/>
          <w:szCs w:val="21"/>
        </w:rPr>
        <w:t xml:space="preserve">CONSULTATION </w:t>
      </w:r>
    </w:p>
    <w:p w14:paraId="0CE4D693" w14:textId="77777777" w:rsidR="00D02791" w:rsidRPr="00ED3445" w:rsidRDefault="00D02791" w:rsidP="00DF5922">
      <w:pPr>
        <w:pStyle w:val="Default"/>
        <w:rPr>
          <w:b/>
          <w:bCs/>
          <w:color w:val="auto"/>
          <w:sz w:val="21"/>
          <w:szCs w:val="21"/>
        </w:rPr>
      </w:pPr>
    </w:p>
    <w:p w14:paraId="5C8225E4" w14:textId="7788BDE2" w:rsidR="004D7C8B" w:rsidRPr="00ED3445" w:rsidRDefault="004D7C8B" w:rsidP="00DF5922">
      <w:pPr>
        <w:pStyle w:val="Default"/>
        <w:rPr>
          <w:color w:val="auto"/>
          <w:sz w:val="21"/>
          <w:szCs w:val="21"/>
        </w:rPr>
      </w:pPr>
      <w:r w:rsidRPr="00ED3445">
        <w:rPr>
          <w:color w:val="auto"/>
          <w:sz w:val="21"/>
          <w:szCs w:val="21"/>
        </w:rPr>
        <w:t xml:space="preserve">The District </w:t>
      </w:r>
      <w:r w:rsidR="002F32D7">
        <w:rPr>
          <w:color w:val="auto"/>
          <w:sz w:val="21"/>
          <w:szCs w:val="21"/>
        </w:rPr>
        <w:t xml:space="preserve">will </w:t>
      </w:r>
      <w:r w:rsidR="002F32D7" w:rsidRPr="00ED3445">
        <w:rPr>
          <w:color w:val="auto"/>
          <w:sz w:val="21"/>
          <w:szCs w:val="21"/>
        </w:rPr>
        <w:t>continue conducting DBE</w:t>
      </w:r>
      <w:r w:rsidRPr="00ED3445">
        <w:rPr>
          <w:color w:val="auto"/>
          <w:sz w:val="21"/>
          <w:szCs w:val="21"/>
        </w:rPr>
        <w:t xml:space="preserve"> activities for </w:t>
      </w:r>
      <w:r w:rsidR="00CE0897" w:rsidRPr="00ED3445">
        <w:rPr>
          <w:color w:val="auto"/>
          <w:sz w:val="21"/>
          <w:szCs w:val="21"/>
        </w:rPr>
        <w:t>Fiscal years</w:t>
      </w:r>
      <w:r w:rsidRPr="00ED3445">
        <w:rPr>
          <w:color w:val="auto"/>
          <w:sz w:val="21"/>
          <w:szCs w:val="21"/>
        </w:rPr>
        <w:t xml:space="preserve"> 202</w:t>
      </w:r>
      <w:r w:rsidR="00224867">
        <w:rPr>
          <w:color w:val="auto"/>
          <w:sz w:val="21"/>
          <w:szCs w:val="21"/>
        </w:rPr>
        <w:t>4</w:t>
      </w:r>
      <w:r w:rsidRPr="00ED3445">
        <w:rPr>
          <w:color w:val="auto"/>
          <w:sz w:val="21"/>
          <w:szCs w:val="21"/>
        </w:rPr>
        <w:t>-202</w:t>
      </w:r>
      <w:r w:rsidR="00224867">
        <w:rPr>
          <w:color w:val="auto"/>
          <w:sz w:val="21"/>
          <w:szCs w:val="21"/>
        </w:rPr>
        <w:t>6</w:t>
      </w:r>
      <w:r w:rsidR="002F32D7">
        <w:rPr>
          <w:color w:val="auto"/>
          <w:sz w:val="21"/>
          <w:szCs w:val="21"/>
        </w:rPr>
        <w:t xml:space="preserve">. The </w:t>
      </w:r>
      <w:r w:rsidR="00EE51C1" w:rsidRPr="00ED3445">
        <w:rPr>
          <w:color w:val="auto"/>
          <w:sz w:val="21"/>
          <w:szCs w:val="21"/>
        </w:rPr>
        <w:t>ETD goal for 202</w:t>
      </w:r>
      <w:r w:rsidR="00224867">
        <w:rPr>
          <w:color w:val="auto"/>
          <w:sz w:val="21"/>
          <w:szCs w:val="21"/>
        </w:rPr>
        <w:t>4</w:t>
      </w:r>
      <w:r w:rsidR="00EE51C1" w:rsidRPr="00ED3445">
        <w:rPr>
          <w:color w:val="auto"/>
          <w:sz w:val="21"/>
          <w:szCs w:val="21"/>
        </w:rPr>
        <w:t>-202</w:t>
      </w:r>
      <w:r w:rsidR="00224867">
        <w:rPr>
          <w:color w:val="auto"/>
          <w:sz w:val="21"/>
          <w:szCs w:val="21"/>
        </w:rPr>
        <w:t>6</w:t>
      </w:r>
      <w:r w:rsidR="00EE51C1" w:rsidRPr="00ED3445">
        <w:rPr>
          <w:color w:val="auto"/>
          <w:sz w:val="21"/>
          <w:szCs w:val="21"/>
        </w:rPr>
        <w:t xml:space="preserve"> to reach </w:t>
      </w:r>
      <w:r w:rsidR="0073331F">
        <w:rPr>
          <w:color w:val="auto"/>
          <w:sz w:val="21"/>
          <w:szCs w:val="21"/>
        </w:rPr>
        <w:t>1.76 %</w:t>
      </w:r>
      <w:r w:rsidR="00EE51C1" w:rsidRPr="00ED3445">
        <w:rPr>
          <w:color w:val="auto"/>
          <w:sz w:val="21"/>
          <w:szCs w:val="21"/>
        </w:rPr>
        <w:t xml:space="preserve"> depends on multiple factors such as 49 CFR part 26- Guidelines of </w:t>
      </w:r>
      <w:r w:rsidR="002F32D7" w:rsidRPr="00ED3445">
        <w:rPr>
          <w:color w:val="auto"/>
          <w:sz w:val="21"/>
          <w:szCs w:val="21"/>
        </w:rPr>
        <w:t>taking consideration all</w:t>
      </w:r>
      <w:r w:rsidR="00EE51C1" w:rsidRPr="00ED3445">
        <w:rPr>
          <w:color w:val="auto"/>
          <w:sz w:val="21"/>
          <w:szCs w:val="21"/>
        </w:rPr>
        <w:t xml:space="preserve"> necessary and reasonable steps </w:t>
      </w:r>
      <w:r w:rsidR="001825F3" w:rsidRPr="00ED3445">
        <w:rPr>
          <w:color w:val="auto"/>
          <w:sz w:val="21"/>
          <w:szCs w:val="21"/>
        </w:rPr>
        <w:t>under to</w:t>
      </w:r>
      <w:r w:rsidR="00EE51C1" w:rsidRPr="00ED3445">
        <w:rPr>
          <w:color w:val="auto"/>
          <w:sz w:val="21"/>
          <w:szCs w:val="21"/>
        </w:rPr>
        <w:t xml:space="preserve"> ensure nondiscrimination in the award and administration of DOT-assisted contracts, </w:t>
      </w:r>
      <w:r w:rsidR="002F32D7">
        <w:rPr>
          <w:color w:val="auto"/>
          <w:sz w:val="21"/>
          <w:szCs w:val="21"/>
        </w:rPr>
        <w:t>A</w:t>
      </w:r>
      <w:r w:rsidR="00EE51C1" w:rsidRPr="00ED3445">
        <w:rPr>
          <w:color w:val="auto"/>
          <w:sz w:val="21"/>
          <w:szCs w:val="21"/>
        </w:rPr>
        <w:t xml:space="preserve">lso FTA funding allocations that the district will receive, that will help funding the upcoming projects or ongoing local projects, and the availability of DBE certified agencies in the market area. </w:t>
      </w:r>
    </w:p>
    <w:p w14:paraId="528452BD" w14:textId="465D84D2" w:rsidR="00EE51C1" w:rsidRPr="00ED3445" w:rsidRDefault="00EE51C1" w:rsidP="00DF5922">
      <w:pPr>
        <w:pStyle w:val="Default"/>
        <w:rPr>
          <w:color w:val="auto"/>
          <w:sz w:val="21"/>
          <w:szCs w:val="21"/>
        </w:rPr>
      </w:pPr>
    </w:p>
    <w:p w14:paraId="0CBD47DB" w14:textId="1B47CD07" w:rsidR="00EE51C1" w:rsidRPr="00ED3445" w:rsidRDefault="00EE51C1" w:rsidP="00DF5922">
      <w:pPr>
        <w:pStyle w:val="Default"/>
        <w:rPr>
          <w:color w:val="auto"/>
          <w:sz w:val="21"/>
          <w:szCs w:val="21"/>
        </w:rPr>
      </w:pPr>
      <w:r w:rsidRPr="00ED3445">
        <w:rPr>
          <w:color w:val="auto"/>
          <w:sz w:val="21"/>
          <w:szCs w:val="21"/>
        </w:rPr>
        <w:t xml:space="preserve">The anticipated projects will vary </w:t>
      </w:r>
      <w:r w:rsidR="009C716E" w:rsidRPr="00ED3445">
        <w:rPr>
          <w:color w:val="auto"/>
          <w:sz w:val="21"/>
          <w:szCs w:val="21"/>
        </w:rPr>
        <w:t xml:space="preserve">between service </w:t>
      </w:r>
      <w:r w:rsidR="00891648" w:rsidRPr="00ED3445">
        <w:rPr>
          <w:color w:val="auto"/>
          <w:sz w:val="21"/>
          <w:szCs w:val="21"/>
        </w:rPr>
        <w:t>contracts,</w:t>
      </w:r>
      <w:r w:rsidR="009C716E" w:rsidRPr="00ED3445">
        <w:rPr>
          <w:color w:val="auto"/>
          <w:sz w:val="21"/>
          <w:szCs w:val="21"/>
        </w:rPr>
        <w:t xml:space="preserve"> renovation and upgrades of passenger and storage </w:t>
      </w:r>
      <w:r w:rsidR="00A95A0D" w:rsidRPr="00ED3445">
        <w:rPr>
          <w:color w:val="auto"/>
          <w:sz w:val="21"/>
          <w:szCs w:val="21"/>
        </w:rPr>
        <w:t>facilities,</w:t>
      </w:r>
      <w:r w:rsidR="009C716E" w:rsidRPr="00ED3445">
        <w:rPr>
          <w:color w:val="auto"/>
          <w:sz w:val="21"/>
          <w:szCs w:val="21"/>
        </w:rPr>
        <w:t xml:space="preserve"> renovation and rehabilitation of parking lots and pedestrian </w:t>
      </w:r>
      <w:r w:rsidR="00D842D5" w:rsidRPr="00ED3445">
        <w:rPr>
          <w:color w:val="auto"/>
          <w:sz w:val="21"/>
          <w:szCs w:val="21"/>
        </w:rPr>
        <w:t>walkways.</w:t>
      </w:r>
      <w:r w:rsidR="009C716E" w:rsidRPr="00ED3445">
        <w:rPr>
          <w:color w:val="auto"/>
          <w:sz w:val="21"/>
          <w:szCs w:val="21"/>
        </w:rPr>
        <w:t xml:space="preserve"> </w:t>
      </w:r>
    </w:p>
    <w:p w14:paraId="32C952D9" w14:textId="77777777" w:rsidR="00D5445E" w:rsidRPr="00ED3445" w:rsidRDefault="00D5445E" w:rsidP="00DF5922">
      <w:pPr>
        <w:pStyle w:val="Default"/>
        <w:rPr>
          <w:color w:val="auto"/>
          <w:sz w:val="21"/>
          <w:szCs w:val="21"/>
        </w:rPr>
      </w:pPr>
    </w:p>
    <w:p w14:paraId="707C27B2" w14:textId="53D7129C" w:rsidR="00DF5922" w:rsidRPr="00ED3445" w:rsidRDefault="00DF5922" w:rsidP="00DF5922">
      <w:pPr>
        <w:pStyle w:val="Default"/>
        <w:rPr>
          <w:color w:val="auto"/>
          <w:sz w:val="21"/>
          <w:szCs w:val="21"/>
        </w:rPr>
      </w:pPr>
      <w:r w:rsidRPr="00ED3445">
        <w:rPr>
          <w:color w:val="auto"/>
          <w:sz w:val="21"/>
          <w:szCs w:val="21"/>
        </w:rPr>
        <w:t>The District’s proposed DBE goal and methodology was posted on the District website</w:t>
      </w:r>
      <w:r w:rsidR="00E31ADE" w:rsidRPr="00ED3445">
        <w:rPr>
          <w:color w:val="auto"/>
          <w:sz w:val="21"/>
          <w:szCs w:val="21"/>
        </w:rPr>
        <w:t xml:space="preserve"> (http://estuarytransit.org/about-us/dbe-goals/)</w:t>
      </w:r>
      <w:r w:rsidRPr="00ED3445">
        <w:rPr>
          <w:color w:val="auto"/>
          <w:sz w:val="21"/>
          <w:szCs w:val="21"/>
        </w:rPr>
        <w:t xml:space="preserve">, beginning on </w:t>
      </w:r>
      <w:r w:rsidR="00E95B94" w:rsidRPr="00DF792F">
        <w:rPr>
          <w:color w:val="auto"/>
          <w:sz w:val="21"/>
          <w:szCs w:val="21"/>
        </w:rPr>
        <w:t>June</w:t>
      </w:r>
      <w:r w:rsidR="000C03F4" w:rsidRPr="00DF792F">
        <w:rPr>
          <w:color w:val="auto"/>
          <w:sz w:val="21"/>
          <w:szCs w:val="21"/>
        </w:rPr>
        <w:t xml:space="preserve"> </w:t>
      </w:r>
      <w:r w:rsidR="00E95B94" w:rsidRPr="00DF792F">
        <w:rPr>
          <w:color w:val="auto"/>
          <w:sz w:val="21"/>
          <w:szCs w:val="21"/>
        </w:rPr>
        <w:t>27</w:t>
      </w:r>
      <w:r w:rsidRPr="00DF792F">
        <w:rPr>
          <w:color w:val="auto"/>
          <w:sz w:val="21"/>
          <w:szCs w:val="21"/>
        </w:rPr>
        <w:t>, 20</w:t>
      </w:r>
      <w:r w:rsidR="00224867" w:rsidRPr="00DF792F">
        <w:rPr>
          <w:color w:val="auto"/>
          <w:sz w:val="21"/>
          <w:szCs w:val="21"/>
        </w:rPr>
        <w:t>2</w:t>
      </w:r>
      <w:r w:rsidR="00E95B94" w:rsidRPr="00DF792F">
        <w:rPr>
          <w:color w:val="auto"/>
          <w:sz w:val="21"/>
          <w:szCs w:val="21"/>
        </w:rPr>
        <w:t>3</w:t>
      </w:r>
      <w:r w:rsidRPr="00ED3445">
        <w:rPr>
          <w:color w:val="auto"/>
          <w:sz w:val="21"/>
          <w:szCs w:val="21"/>
        </w:rPr>
        <w:t>.</w:t>
      </w:r>
      <w:r w:rsidR="005E555E" w:rsidRPr="00ED3445">
        <w:rPr>
          <w:color w:val="auto"/>
          <w:sz w:val="21"/>
          <w:szCs w:val="21"/>
        </w:rPr>
        <w:t>No comments were received</w:t>
      </w:r>
      <w:r w:rsidRPr="00ED3445">
        <w:rPr>
          <w:color w:val="auto"/>
          <w:sz w:val="21"/>
          <w:szCs w:val="21"/>
        </w:rPr>
        <w:t xml:space="preserve">. </w:t>
      </w:r>
    </w:p>
    <w:p w14:paraId="660BC1D6" w14:textId="77777777" w:rsidR="00F50ACA" w:rsidRPr="00ED3445" w:rsidRDefault="00F50ACA" w:rsidP="00DF5922">
      <w:pPr>
        <w:pStyle w:val="Default"/>
        <w:rPr>
          <w:color w:val="auto"/>
          <w:sz w:val="21"/>
          <w:szCs w:val="21"/>
        </w:rPr>
      </w:pPr>
    </w:p>
    <w:p w14:paraId="6C18176A" w14:textId="77777777" w:rsidR="00DF5922" w:rsidRPr="00ED3445" w:rsidRDefault="00DF5922" w:rsidP="00DF5922">
      <w:pPr>
        <w:pStyle w:val="Default"/>
        <w:rPr>
          <w:color w:val="auto"/>
          <w:sz w:val="21"/>
          <w:szCs w:val="21"/>
        </w:rPr>
      </w:pPr>
      <w:r w:rsidRPr="00ED3445">
        <w:rPr>
          <w:b/>
          <w:bCs/>
          <w:color w:val="auto"/>
          <w:sz w:val="21"/>
          <w:szCs w:val="21"/>
        </w:rPr>
        <w:t xml:space="preserve">ADVERTISING AND COMMENT PERIOD </w:t>
      </w:r>
    </w:p>
    <w:p w14:paraId="73473431" w14:textId="1A7C7B8B" w:rsidR="00DD24F8" w:rsidRPr="00ED3445" w:rsidRDefault="00DF5922" w:rsidP="00DF5922">
      <w:pPr>
        <w:pStyle w:val="Default"/>
        <w:rPr>
          <w:color w:val="auto"/>
          <w:sz w:val="21"/>
          <w:szCs w:val="21"/>
        </w:rPr>
      </w:pPr>
      <w:r w:rsidRPr="00ED3445">
        <w:rPr>
          <w:color w:val="auto"/>
          <w:sz w:val="21"/>
          <w:szCs w:val="21"/>
        </w:rPr>
        <w:t xml:space="preserve">The District advertised the proposed goal in both the Hartford Courant (newspaper of general circulation) on </w:t>
      </w:r>
      <w:r w:rsidR="00E95B94" w:rsidRPr="00DF792F">
        <w:rPr>
          <w:color w:val="auto"/>
          <w:sz w:val="21"/>
          <w:szCs w:val="21"/>
        </w:rPr>
        <w:t>June 28</w:t>
      </w:r>
      <w:r w:rsidRPr="00DF792F">
        <w:rPr>
          <w:color w:val="auto"/>
          <w:sz w:val="21"/>
          <w:szCs w:val="21"/>
        </w:rPr>
        <w:t>, 20</w:t>
      </w:r>
      <w:r w:rsidR="00224867" w:rsidRPr="00DF792F">
        <w:rPr>
          <w:color w:val="auto"/>
          <w:sz w:val="21"/>
          <w:szCs w:val="21"/>
        </w:rPr>
        <w:t>23</w:t>
      </w:r>
      <w:r w:rsidRPr="00ED3445">
        <w:rPr>
          <w:color w:val="auto"/>
          <w:sz w:val="21"/>
          <w:szCs w:val="21"/>
        </w:rPr>
        <w:t xml:space="preserve">. The notices indicate that the goal methodology is available for 30 days and comments may be submitted within </w:t>
      </w:r>
      <w:r w:rsidR="00023E85" w:rsidRPr="00ED3445">
        <w:rPr>
          <w:color w:val="auto"/>
          <w:sz w:val="21"/>
          <w:szCs w:val="21"/>
        </w:rPr>
        <w:t>30</w:t>
      </w:r>
      <w:r w:rsidRPr="00ED3445">
        <w:rPr>
          <w:color w:val="auto"/>
          <w:sz w:val="21"/>
          <w:szCs w:val="21"/>
        </w:rPr>
        <w:t xml:space="preserve"> days. Both the District’s address and the FTA Region 1 address are included in the notice. At the conclusion of the public comment period, any comments received by the District will be added to this document. The notices are attached to this document.</w:t>
      </w:r>
    </w:p>
    <w:p w14:paraId="0DAA3138" w14:textId="77777777" w:rsidR="00DF5922" w:rsidRPr="00ED3445" w:rsidRDefault="00DF5922" w:rsidP="00DF5922">
      <w:pPr>
        <w:pStyle w:val="Default"/>
        <w:rPr>
          <w:color w:val="auto"/>
          <w:sz w:val="21"/>
          <w:szCs w:val="21"/>
        </w:rPr>
      </w:pPr>
      <w:r w:rsidRPr="00ED3445">
        <w:rPr>
          <w:color w:val="auto"/>
          <w:sz w:val="21"/>
          <w:szCs w:val="21"/>
        </w:rPr>
        <w:t xml:space="preserve"> </w:t>
      </w:r>
    </w:p>
    <w:p w14:paraId="552ED6BB" w14:textId="77777777" w:rsidR="00DF5922" w:rsidRPr="00ED3445" w:rsidRDefault="00DF5922" w:rsidP="00DF5922">
      <w:pPr>
        <w:pStyle w:val="Default"/>
        <w:rPr>
          <w:color w:val="auto"/>
          <w:sz w:val="21"/>
          <w:szCs w:val="21"/>
        </w:rPr>
      </w:pPr>
      <w:r w:rsidRPr="00ED3445">
        <w:rPr>
          <w:color w:val="auto"/>
          <w:sz w:val="21"/>
          <w:szCs w:val="21"/>
        </w:rPr>
        <w:lastRenderedPageBreak/>
        <w:t xml:space="preserve">The District is required to submit its overall DBE goal to FTA on August 1 of each year, except in cases where a Federal Transit Administration recipient submits a specific project goal. This report is being submitted in compliance with this requirement. </w:t>
      </w:r>
    </w:p>
    <w:p w14:paraId="00F0B647" w14:textId="77777777" w:rsidR="00F50ACA" w:rsidRPr="00ED3445" w:rsidRDefault="00F50ACA" w:rsidP="00DF5922">
      <w:pPr>
        <w:pStyle w:val="Default"/>
        <w:rPr>
          <w:color w:val="auto"/>
          <w:sz w:val="21"/>
          <w:szCs w:val="21"/>
        </w:rPr>
      </w:pPr>
    </w:p>
    <w:p w14:paraId="2D8D7C50" w14:textId="77777777" w:rsidR="00DF5922" w:rsidRPr="00ED3445" w:rsidRDefault="00DF5922" w:rsidP="00DF5922">
      <w:pPr>
        <w:pStyle w:val="Default"/>
        <w:rPr>
          <w:color w:val="auto"/>
          <w:sz w:val="21"/>
          <w:szCs w:val="21"/>
        </w:rPr>
      </w:pPr>
      <w:r w:rsidRPr="00ED3445">
        <w:rPr>
          <w:b/>
          <w:bCs/>
          <w:color w:val="auto"/>
          <w:sz w:val="21"/>
          <w:szCs w:val="21"/>
        </w:rPr>
        <w:t xml:space="preserve">CONTRACT GOALS </w:t>
      </w:r>
    </w:p>
    <w:p w14:paraId="27E6DD96" w14:textId="77777777" w:rsidR="00DF5922" w:rsidRPr="00ED3445" w:rsidRDefault="00DF5922" w:rsidP="00DF5922">
      <w:pPr>
        <w:pStyle w:val="Default"/>
        <w:rPr>
          <w:color w:val="auto"/>
          <w:sz w:val="21"/>
          <w:szCs w:val="21"/>
        </w:rPr>
      </w:pPr>
      <w:r w:rsidRPr="00ED3445">
        <w:rPr>
          <w:color w:val="auto"/>
          <w:sz w:val="21"/>
          <w:szCs w:val="21"/>
        </w:rPr>
        <w:t xml:space="preserve">The District will use contract goals to meet any portion of the overall goal that cannot be met using race-neutral means. Contract goals are established so that, over the period to which the overall goal applies, they will cumulatively result in meeting any portion of the overall goal that is not projected to be met </w:t>
      </w:r>
      <w:proofErr w:type="gramStart"/>
      <w:r w:rsidRPr="00ED3445">
        <w:rPr>
          <w:color w:val="auto"/>
          <w:sz w:val="21"/>
          <w:szCs w:val="21"/>
        </w:rPr>
        <w:t>through the use of</w:t>
      </w:r>
      <w:proofErr w:type="gramEnd"/>
      <w:r w:rsidRPr="00ED3445">
        <w:rPr>
          <w:color w:val="auto"/>
          <w:sz w:val="21"/>
          <w:szCs w:val="21"/>
        </w:rPr>
        <w:t xml:space="preserve"> race-neutral means. </w:t>
      </w:r>
    </w:p>
    <w:p w14:paraId="5ECF7E46" w14:textId="77777777" w:rsidR="00D5445E" w:rsidRPr="00ED3445" w:rsidRDefault="00D5445E" w:rsidP="00DF5922">
      <w:pPr>
        <w:pStyle w:val="Default"/>
        <w:rPr>
          <w:color w:val="auto"/>
          <w:sz w:val="21"/>
          <w:szCs w:val="21"/>
        </w:rPr>
      </w:pPr>
    </w:p>
    <w:p w14:paraId="592C1D28" w14:textId="77777777" w:rsidR="00DF5922" w:rsidRPr="00ED3445" w:rsidRDefault="00DF5922" w:rsidP="00D5445E">
      <w:pPr>
        <w:pStyle w:val="Default"/>
        <w:rPr>
          <w:color w:val="auto"/>
          <w:sz w:val="21"/>
          <w:szCs w:val="21"/>
        </w:rPr>
      </w:pPr>
      <w:r w:rsidRPr="00ED3445">
        <w:rPr>
          <w:color w:val="auto"/>
          <w:sz w:val="21"/>
          <w:szCs w:val="21"/>
        </w:rPr>
        <w:t xml:space="preserve">The District will establish contract goals on those FTA assisted contracts that have subcontracting possibilities. The District is not required to establish a contract goal on every such contract, and the size of contract goals will be adapted to the circumstances of each such contract (e.g., scope of work, location of work, and availability of DBEs to perform the </w:t>
      </w:r>
      <w:proofErr w:type="gramStart"/>
      <w:r w:rsidRPr="00ED3445">
        <w:rPr>
          <w:color w:val="auto"/>
          <w:sz w:val="21"/>
          <w:szCs w:val="21"/>
        </w:rPr>
        <w:t>particular type of work</w:t>
      </w:r>
      <w:proofErr w:type="gramEnd"/>
      <w:r w:rsidRPr="00ED3445">
        <w:rPr>
          <w:color w:val="auto"/>
          <w:sz w:val="21"/>
          <w:szCs w:val="21"/>
        </w:rPr>
        <w:t xml:space="preserve">). </w:t>
      </w:r>
    </w:p>
    <w:p w14:paraId="0C6761E6" w14:textId="77777777" w:rsidR="00D5445E" w:rsidRPr="00ED3445" w:rsidRDefault="00D5445E" w:rsidP="00D5445E">
      <w:pPr>
        <w:pStyle w:val="Default"/>
        <w:rPr>
          <w:color w:val="auto"/>
          <w:sz w:val="21"/>
          <w:szCs w:val="21"/>
        </w:rPr>
      </w:pPr>
    </w:p>
    <w:p w14:paraId="75236A46" w14:textId="77777777" w:rsidR="00E84BB0" w:rsidRPr="00ED3445" w:rsidRDefault="00DF5922">
      <w:pPr>
        <w:rPr>
          <w:rFonts w:ascii="Verdana" w:hAnsi="Verdana"/>
          <w:sz w:val="21"/>
          <w:szCs w:val="21"/>
        </w:rPr>
      </w:pPr>
      <w:r w:rsidRPr="00ED3445">
        <w:rPr>
          <w:rFonts w:ascii="Verdana" w:hAnsi="Verdana"/>
          <w:sz w:val="21"/>
          <w:szCs w:val="21"/>
        </w:rPr>
        <w:t>The District will express its contract goal as a percentage of the total amount of FTA assisted contracts.</w:t>
      </w:r>
      <w:r w:rsidR="00E84BB0" w:rsidRPr="00ED3445">
        <w:rPr>
          <w:rFonts w:ascii="Verdana" w:hAnsi="Verdana"/>
          <w:b/>
          <w:sz w:val="21"/>
          <w:szCs w:val="21"/>
        </w:rPr>
        <w:br w:type="page"/>
      </w:r>
    </w:p>
    <w:p w14:paraId="24A78BE1" w14:textId="383CFBB1" w:rsidR="00A20A0B" w:rsidRDefault="002409AF" w:rsidP="000E0BB4">
      <w:pPr>
        <w:jc w:val="center"/>
        <w:rPr>
          <w:rFonts w:ascii="Verdana" w:hAnsi="Verdana"/>
          <w:b/>
        </w:rPr>
      </w:pPr>
      <w:r w:rsidRPr="002409AF">
        <w:rPr>
          <w:rFonts w:ascii="Verdana" w:hAnsi="Verdana"/>
          <w:b/>
        </w:rPr>
        <w:lastRenderedPageBreak/>
        <w:t>ATTACHMENTS</w:t>
      </w:r>
    </w:p>
    <w:bookmarkStart w:id="0" w:name="_MON_1732947672"/>
    <w:bookmarkEnd w:id="0"/>
    <w:p w14:paraId="16908C4C" w14:textId="4DADB7CC" w:rsidR="003E2B85" w:rsidRPr="000E0BB4" w:rsidRDefault="000552A9" w:rsidP="003E2B85">
      <w:pPr>
        <w:rPr>
          <w:rFonts w:ascii="Verdana" w:hAnsi="Verdana"/>
          <w:b/>
        </w:rPr>
      </w:pPr>
      <w:r>
        <w:object w:dxaOrig="1541" w:dyaOrig="998" w14:anchorId="3D8E0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8" o:title=""/>
          </v:shape>
          <o:OLEObject Type="Embed" ProgID="Excel.Sheet.8" ShapeID="_x0000_i1025" DrawAspect="Icon" ObjectID="_1750053261" r:id="rId9"/>
        </w:object>
      </w:r>
      <w:r w:rsidR="00DF792F">
        <w:object w:dxaOrig="1541" w:dyaOrig="998" w14:anchorId="64568482">
          <v:shape id="_x0000_i1026" type="#_x0000_t75" style="width:77.25pt;height:50.25pt" o:ole="">
            <v:imagedata r:id="rId10" o:title=""/>
          </v:shape>
          <o:OLEObject Type="Embed" ProgID="Acrobat.Document.DC" ShapeID="_x0000_i1026" DrawAspect="Icon" ObjectID="_1750053262" r:id="rId11"/>
        </w:object>
      </w:r>
    </w:p>
    <w:sectPr w:rsidR="003E2B85" w:rsidRPr="000E0B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8A9A" w14:textId="77777777" w:rsidR="00B75FEA" w:rsidRDefault="00B75FEA" w:rsidP="00ED3445">
      <w:pPr>
        <w:spacing w:after="0" w:line="240" w:lineRule="auto"/>
      </w:pPr>
      <w:r>
        <w:separator/>
      </w:r>
    </w:p>
  </w:endnote>
  <w:endnote w:type="continuationSeparator" w:id="0">
    <w:p w14:paraId="79ADA92D" w14:textId="77777777" w:rsidR="00B75FEA" w:rsidRDefault="00B75FEA" w:rsidP="00ED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150F" w14:textId="77777777" w:rsidR="00B75FEA" w:rsidRDefault="00B75FEA" w:rsidP="00ED3445">
      <w:pPr>
        <w:spacing w:after="0" w:line="240" w:lineRule="auto"/>
      </w:pPr>
      <w:r>
        <w:separator/>
      </w:r>
    </w:p>
  </w:footnote>
  <w:footnote w:type="continuationSeparator" w:id="0">
    <w:p w14:paraId="1E81532F" w14:textId="77777777" w:rsidR="00B75FEA" w:rsidRDefault="00B75FEA" w:rsidP="00ED3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B55"/>
    <w:multiLevelType w:val="hybridMultilevel"/>
    <w:tmpl w:val="4F30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800D6"/>
    <w:multiLevelType w:val="hybridMultilevel"/>
    <w:tmpl w:val="7A58F7C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16D1A49"/>
    <w:multiLevelType w:val="hybridMultilevel"/>
    <w:tmpl w:val="CA967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085F56"/>
    <w:multiLevelType w:val="hybridMultilevel"/>
    <w:tmpl w:val="1D9C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B5A97"/>
    <w:multiLevelType w:val="hybridMultilevel"/>
    <w:tmpl w:val="B484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E05BD"/>
    <w:multiLevelType w:val="hybridMultilevel"/>
    <w:tmpl w:val="932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F301C"/>
    <w:multiLevelType w:val="hybridMultilevel"/>
    <w:tmpl w:val="D79C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3614F"/>
    <w:multiLevelType w:val="hybridMultilevel"/>
    <w:tmpl w:val="AAB0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65EBD"/>
    <w:multiLevelType w:val="hybridMultilevel"/>
    <w:tmpl w:val="1492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D1605"/>
    <w:multiLevelType w:val="hybridMultilevel"/>
    <w:tmpl w:val="A4D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005313">
    <w:abstractNumId w:val="9"/>
  </w:num>
  <w:num w:numId="2" w16cid:durableId="973173862">
    <w:abstractNumId w:val="2"/>
  </w:num>
  <w:num w:numId="3" w16cid:durableId="1762677245">
    <w:abstractNumId w:val="3"/>
  </w:num>
  <w:num w:numId="4" w16cid:durableId="1132672026">
    <w:abstractNumId w:val="8"/>
  </w:num>
  <w:num w:numId="5" w16cid:durableId="330110619">
    <w:abstractNumId w:val="4"/>
  </w:num>
  <w:num w:numId="6" w16cid:durableId="1007446074">
    <w:abstractNumId w:val="6"/>
  </w:num>
  <w:num w:numId="7" w16cid:durableId="91750602">
    <w:abstractNumId w:val="7"/>
  </w:num>
  <w:num w:numId="8" w16cid:durableId="1843009937">
    <w:abstractNumId w:val="5"/>
  </w:num>
  <w:num w:numId="9" w16cid:durableId="677929233">
    <w:abstractNumId w:val="0"/>
  </w:num>
  <w:num w:numId="10" w16cid:durableId="523448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24"/>
    <w:rsid w:val="000162A2"/>
    <w:rsid w:val="00023E85"/>
    <w:rsid w:val="0003007B"/>
    <w:rsid w:val="00031B38"/>
    <w:rsid w:val="000329FA"/>
    <w:rsid w:val="00032D67"/>
    <w:rsid w:val="00046506"/>
    <w:rsid w:val="00046E4F"/>
    <w:rsid w:val="000552A9"/>
    <w:rsid w:val="000572C4"/>
    <w:rsid w:val="00060F96"/>
    <w:rsid w:val="00063B01"/>
    <w:rsid w:val="00064813"/>
    <w:rsid w:val="00067298"/>
    <w:rsid w:val="00077C48"/>
    <w:rsid w:val="000877B2"/>
    <w:rsid w:val="00095603"/>
    <w:rsid w:val="00096E9B"/>
    <w:rsid w:val="00097693"/>
    <w:rsid w:val="000A2823"/>
    <w:rsid w:val="000A42E8"/>
    <w:rsid w:val="000A6F03"/>
    <w:rsid w:val="000B046C"/>
    <w:rsid w:val="000B77F1"/>
    <w:rsid w:val="000B7A77"/>
    <w:rsid w:val="000C03F4"/>
    <w:rsid w:val="000C0EE5"/>
    <w:rsid w:val="000C0F8D"/>
    <w:rsid w:val="000C5DEF"/>
    <w:rsid w:val="000D14EC"/>
    <w:rsid w:val="000D461A"/>
    <w:rsid w:val="000D61EB"/>
    <w:rsid w:val="000D7902"/>
    <w:rsid w:val="000E0BB4"/>
    <w:rsid w:val="000F27E3"/>
    <w:rsid w:val="000F3F0D"/>
    <w:rsid w:val="00104BA5"/>
    <w:rsid w:val="001051EA"/>
    <w:rsid w:val="00110004"/>
    <w:rsid w:val="00110A8C"/>
    <w:rsid w:val="0011585E"/>
    <w:rsid w:val="00116FB0"/>
    <w:rsid w:val="0011793B"/>
    <w:rsid w:val="001245FD"/>
    <w:rsid w:val="00132CA1"/>
    <w:rsid w:val="00140467"/>
    <w:rsid w:val="00142A67"/>
    <w:rsid w:val="00144EDB"/>
    <w:rsid w:val="00151BAE"/>
    <w:rsid w:val="00152D19"/>
    <w:rsid w:val="00154B9C"/>
    <w:rsid w:val="0016010B"/>
    <w:rsid w:val="0016134C"/>
    <w:rsid w:val="001638AC"/>
    <w:rsid w:val="00174BDE"/>
    <w:rsid w:val="00176A28"/>
    <w:rsid w:val="00177921"/>
    <w:rsid w:val="001825F3"/>
    <w:rsid w:val="00186542"/>
    <w:rsid w:val="00197A3F"/>
    <w:rsid w:val="001A0BAA"/>
    <w:rsid w:val="001A17E1"/>
    <w:rsid w:val="001A3FC2"/>
    <w:rsid w:val="001A646D"/>
    <w:rsid w:val="001B0400"/>
    <w:rsid w:val="001B21C4"/>
    <w:rsid w:val="001B4D8C"/>
    <w:rsid w:val="001C3A5B"/>
    <w:rsid w:val="001F3270"/>
    <w:rsid w:val="00201A76"/>
    <w:rsid w:val="00224867"/>
    <w:rsid w:val="002339C7"/>
    <w:rsid w:val="002409AF"/>
    <w:rsid w:val="00245ED5"/>
    <w:rsid w:val="00247BAD"/>
    <w:rsid w:val="00251693"/>
    <w:rsid w:val="00255E78"/>
    <w:rsid w:val="0027033A"/>
    <w:rsid w:val="00275A24"/>
    <w:rsid w:val="002761EB"/>
    <w:rsid w:val="00283FB9"/>
    <w:rsid w:val="00295532"/>
    <w:rsid w:val="00295B52"/>
    <w:rsid w:val="002A1185"/>
    <w:rsid w:val="002A6744"/>
    <w:rsid w:val="002A7046"/>
    <w:rsid w:val="002B0323"/>
    <w:rsid w:val="002B4BDA"/>
    <w:rsid w:val="002B7EF5"/>
    <w:rsid w:val="002C0A22"/>
    <w:rsid w:val="002D23A2"/>
    <w:rsid w:val="002F0C2A"/>
    <w:rsid w:val="002F32D7"/>
    <w:rsid w:val="00303EF9"/>
    <w:rsid w:val="00307119"/>
    <w:rsid w:val="00307BF6"/>
    <w:rsid w:val="00313155"/>
    <w:rsid w:val="00325FED"/>
    <w:rsid w:val="00340654"/>
    <w:rsid w:val="003477F6"/>
    <w:rsid w:val="003519D2"/>
    <w:rsid w:val="0036006A"/>
    <w:rsid w:val="0036646D"/>
    <w:rsid w:val="0037044E"/>
    <w:rsid w:val="00380F54"/>
    <w:rsid w:val="0038325F"/>
    <w:rsid w:val="00384CA9"/>
    <w:rsid w:val="00386229"/>
    <w:rsid w:val="00392986"/>
    <w:rsid w:val="00394216"/>
    <w:rsid w:val="003A03B1"/>
    <w:rsid w:val="003A08A3"/>
    <w:rsid w:val="003A08AA"/>
    <w:rsid w:val="003A473E"/>
    <w:rsid w:val="003B7750"/>
    <w:rsid w:val="003C05AC"/>
    <w:rsid w:val="003C155B"/>
    <w:rsid w:val="003C6E34"/>
    <w:rsid w:val="003D2DBD"/>
    <w:rsid w:val="003D64CD"/>
    <w:rsid w:val="003E2B85"/>
    <w:rsid w:val="003F6CCF"/>
    <w:rsid w:val="0041774F"/>
    <w:rsid w:val="00420EEB"/>
    <w:rsid w:val="00422510"/>
    <w:rsid w:val="00427796"/>
    <w:rsid w:val="00453529"/>
    <w:rsid w:val="0046118D"/>
    <w:rsid w:val="00497A93"/>
    <w:rsid w:val="004A7F25"/>
    <w:rsid w:val="004B06EF"/>
    <w:rsid w:val="004B27C1"/>
    <w:rsid w:val="004C216F"/>
    <w:rsid w:val="004C2F25"/>
    <w:rsid w:val="004C563B"/>
    <w:rsid w:val="004D0431"/>
    <w:rsid w:val="004D0AEA"/>
    <w:rsid w:val="004D4F51"/>
    <w:rsid w:val="004D6163"/>
    <w:rsid w:val="004D7C8B"/>
    <w:rsid w:val="004F10DE"/>
    <w:rsid w:val="004F47B5"/>
    <w:rsid w:val="004F5904"/>
    <w:rsid w:val="004F7581"/>
    <w:rsid w:val="00505C21"/>
    <w:rsid w:val="00511627"/>
    <w:rsid w:val="005145ED"/>
    <w:rsid w:val="0053219F"/>
    <w:rsid w:val="0053443C"/>
    <w:rsid w:val="00534E91"/>
    <w:rsid w:val="005423DD"/>
    <w:rsid w:val="00546E93"/>
    <w:rsid w:val="005475E8"/>
    <w:rsid w:val="005647EF"/>
    <w:rsid w:val="00574BF6"/>
    <w:rsid w:val="0058566B"/>
    <w:rsid w:val="0059149A"/>
    <w:rsid w:val="00594F7C"/>
    <w:rsid w:val="0059741C"/>
    <w:rsid w:val="005B278B"/>
    <w:rsid w:val="005B3FC3"/>
    <w:rsid w:val="005C1175"/>
    <w:rsid w:val="005D0543"/>
    <w:rsid w:val="005D2EE3"/>
    <w:rsid w:val="005E555E"/>
    <w:rsid w:val="005F5B6D"/>
    <w:rsid w:val="00606475"/>
    <w:rsid w:val="0060695D"/>
    <w:rsid w:val="00606A74"/>
    <w:rsid w:val="006241A8"/>
    <w:rsid w:val="00637E6D"/>
    <w:rsid w:val="0064141A"/>
    <w:rsid w:val="00646B6F"/>
    <w:rsid w:val="00654933"/>
    <w:rsid w:val="00657011"/>
    <w:rsid w:val="0066592B"/>
    <w:rsid w:val="006715B8"/>
    <w:rsid w:val="006936FE"/>
    <w:rsid w:val="00696BB7"/>
    <w:rsid w:val="006A4E82"/>
    <w:rsid w:val="006B1471"/>
    <w:rsid w:val="006B1BBD"/>
    <w:rsid w:val="006B72C0"/>
    <w:rsid w:val="006C1B06"/>
    <w:rsid w:val="006C4450"/>
    <w:rsid w:val="006F5D4D"/>
    <w:rsid w:val="006F6C5E"/>
    <w:rsid w:val="00706F81"/>
    <w:rsid w:val="007149FA"/>
    <w:rsid w:val="007159C8"/>
    <w:rsid w:val="00720E35"/>
    <w:rsid w:val="0073331F"/>
    <w:rsid w:val="00735CC6"/>
    <w:rsid w:val="00751B41"/>
    <w:rsid w:val="007532F3"/>
    <w:rsid w:val="00755C2C"/>
    <w:rsid w:val="007563B3"/>
    <w:rsid w:val="007577BD"/>
    <w:rsid w:val="00760AF8"/>
    <w:rsid w:val="00762224"/>
    <w:rsid w:val="00764D6B"/>
    <w:rsid w:val="00780724"/>
    <w:rsid w:val="00780F0C"/>
    <w:rsid w:val="00782481"/>
    <w:rsid w:val="0078569E"/>
    <w:rsid w:val="0078577D"/>
    <w:rsid w:val="007925B5"/>
    <w:rsid w:val="00793F58"/>
    <w:rsid w:val="00794AB7"/>
    <w:rsid w:val="007A4038"/>
    <w:rsid w:val="007B50BD"/>
    <w:rsid w:val="007B5D1D"/>
    <w:rsid w:val="007B71EE"/>
    <w:rsid w:val="007C4F1C"/>
    <w:rsid w:val="007C565E"/>
    <w:rsid w:val="007D4B21"/>
    <w:rsid w:val="007E2DC4"/>
    <w:rsid w:val="007E5C57"/>
    <w:rsid w:val="007F1CA7"/>
    <w:rsid w:val="007F5E05"/>
    <w:rsid w:val="008006D7"/>
    <w:rsid w:val="00805EB2"/>
    <w:rsid w:val="00811D0C"/>
    <w:rsid w:val="00814439"/>
    <w:rsid w:val="008145FF"/>
    <w:rsid w:val="00814EBA"/>
    <w:rsid w:val="008155BB"/>
    <w:rsid w:val="0082123F"/>
    <w:rsid w:val="00821859"/>
    <w:rsid w:val="00826235"/>
    <w:rsid w:val="00827D07"/>
    <w:rsid w:val="008300A7"/>
    <w:rsid w:val="00835B80"/>
    <w:rsid w:val="00836027"/>
    <w:rsid w:val="008514E5"/>
    <w:rsid w:val="008526E4"/>
    <w:rsid w:val="00855930"/>
    <w:rsid w:val="008559A8"/>
    <w:rsid w:val="00856F25"/>
    <w:rsid w:val="00876E77"/>
    <w:rsid w:val="00880C70"/>
    <w:rsid w:val="00891648"/>
    <w:rsid w:val="008928D4"/>
    <w:rsid w:val="008B28A1"/>
    <w:rsid w:val="008D441F"/>
    <w:rsid w:val="008F3320"/>
    <w:rsid w:val="008F6F8F"/>
    <w:rsid w:val="009073EF"/>
    <w:rsid w:val="009331DB"/>
    <w:rsid w:val="00935B90"/>
    <w:rsid w:val="009434B4"/>
    <w:rsid w:val="009647D5"/>
    <w:rsid w:val="0096656A"/>
    <w:rsid w:val="0097615E"/>
    <w:rsid w:val="0098140B"/>
    <w:rsid w:val="00992E04"/>
    <w:rsid w:val="009B33A2"/>
    <w:rsid w:val="009B497E"/>
    <w:rsid w:val="009B5A43"/>
    <w:rsid w:val="009C6DF8"/>
    <w:rsid w:val="009C716E"/>
    <w:rsid w:val="009D111F"/>
    <w:rsid w:val="009D40C5"/>
    <w:rsid w:val="009E4B92"/>
    <w:rsid w:val="009F07B3"/>
    <w:rsid w:val="009F1795"/>
    <w:rsid w:val="00A0093F"/>
    <w:rsid w:val="00A02FF7"/>
    <w:rsid w:val="00A05CD0"/>
    <w:rsid w:val="00A07B8F"/>
    <w:rsid w:val="00A2015C"/>
    <w:rsid w:val="00A20A0B"/>
    <w:rsid w:val="00A23912"/>
    <w:rsid w:val="00A401CE"/>
    <w:rsid w:val="00A40C3B"/>
    <w:rsid w:val="00A42E1F"/>
    <w:rsid w:val="00A50ADA"/>
    <w:rsid w:val="00A73571"/>
    <w:rsid w:val="00A74019"/>
    <w:rsid w:val="00A83F6B"/>
    <w:rsid w:val="00A95A0D"/>
    <w:rsid w:val="00AA5AE5"/>
    <w:rsid w:val="00AB5FA3"/>
    <w:rsid w:val="00AD0115"/>
    <w:rsid w:val="00AD29C6"/>
    <w:rsid w:val="00AD3809"/>
    <w:rsid w:val="00AE3898"/>
    <w:rsid w:val="00AE5890"/>
    <w:rsid w:val="00AF2677"/>
    <w:rsid w:val="00AF5603"/>
    <w:rsid w:val="00B00819"/>
    <w:rsid w:val="00B021B7"/>
    <w:rsid w:val="00B11C32"/>
    <w:rsid w:val="00B12C26"/>
    <w:rsid w:val="00B20279"/>
    <w:rsid w:val="00B22B0D"/>
    <w:rsid w:val="00B479C2"/>
    <w:rsid w:val="00B5696D"/>
    <w:rsid w:val="00B64CFB"/>
    <w:rsid w:val="00B65180"/>
    <w:rsid w:val="00B74C52"/>
    <w:rsid w:val="00B75FEA"/>
    <w:rsid w:val="00BA1123"/>
    <w:rsid w:val="00BA4618"/>
    <w:rsid w:val="00BA76A9"/>
    <w:rsid w:val="00BB73AC"/>
    <w:rsid w:val="00BC50EC"/>
    <w:rsid w:val="00BD4AAF"/>
    <w:rsid w:val="00BD6921"/>
    <w:rsid w:val="00BF1061"/>
    <w:rsid w:val="00BF5D0F"/>
    <w:rsid w:val="00C1007A"/>
    <w:rsid w:val="00C1061E"/>
    <w:rsid w:val="00C5472D"/>
    <w:rsid w:val="00C60EF9"/>
    <w:rsid w:val="00C67E30"/>
    <w:rsid w:val="00C738A8"/>
    <w:rsid w:val="00C75D23"/>
    <w:rsid w:val="00C7786C"/>
    <w:rsid w:val="00C86C9E"/>
    <w:rsid w:val="00C90906"/>
    <w:rsid w:val="00C953C2"/>
    <w:rsid w:val="00C97941"/>
    <w:rsid w:val="00CA11D4"/>
    <w:rsid w:val="00CA20E7"/>
    <w:rsid w:val="00CA43A4"/>
    <w:rsid w:val="00CC5E9A"/>
    <w:rsid w:val="00CD47BF"/>
    <w:rsid w:val="00CD50AA"/>
    <w:rsid w:val="00CD6E1B"/>
    <w:rsid w:val="00CE0897"/>
    <w:rsid w:val="00CE122A"/>
    <w:rsid w:val="00CE408F"/>
    <w:rsid w:val="00CE5926"/>
    <w:rsid w:val="00CE60D2"/>
    <w:rsid w:val="00CF010B"/>
    <w:rsid w:val="00CF3608"/>
    <w:rsid w:val="00CF393D"/>
    <w:rsid w:val="00CF5125"/>
    <w:rsid w:val="00D02791"/>
    <w:rsid w:val="00D07FE7"/>
    <w:rsid w:val="00D13A93"/>
    <w:rsid w:val="00D27B3C"/>
    <w:rsid w:val="00D31CA7"/>
    <w:rsid w:val="00D4454D"/>
    <w:rsid w:val="00D53BEF"/>
    <w:rsid w:val="00D5445E"/>
    <w:rsid w:val="00D63464"/>
    <w:rsid w:val="00D67BD3"/>
    <w:rsid w:val="00D70EDC"/>
    <w:rsid w:val="00D842D5"/>
    <w:rsid w:val="00D863AB"/>
    <w:rsid w:val="00D8742D"/>
    <w:rsid w:val="00D907EC"/>
    <w:rsid w:val="00D955B8"/>
    <w:rsid w:val="00DA1F36"/>
    <w:rsid w:val="00DA6D5A"/>
    <w:rsid w:val="00DB3375"/>
    <w:rsid w:val="00DB450E"/>
    <w:rsid w:val="00DB6249"/>
    <w:rsid w:val="00DC2ACD"/>
    <w:rsid w:val="00DC6299"/>
    <w:rsid w:val="00DC7377"/>
    <w:rsid w:val="00DD24F8"/>
    <w:rsid w:val="00DD51A2"/>
    <w:rsid w:val="00DE0BB5"/>
    <w:rsid w:val="00DE3717"/>
    <w:rsid w:val="00DF5846"/>
    <w:rsid w:val="00DF5922"/>
    <w:rsid w:val="00DF62FF"/>
    <w:rsid w:val="00DF78DB"/>
    <w:rsid w:val="00DF792F"/>
    <w:rsid w:val="00E10738"/>
    <w:rsid w:val="00E30C32"/>
    <w:rsid w:val="00E30D08"/>
    <w:rsid w:val="00E31ADE"/>
    <w:rsid w:val="00E36773"/>
    <w:rsid w:val="00E44977"/>
    <w:rsid w:val="00E47644"/>
    <w:rsid w:val="00E50FDB"/>
    <w:rsid w:val="00E51A79"/>
    <w:rsid w:val="00E5286C"/>
    <w:rsid w:val="00E54931"/>
    <w:rsid w:val="00E63E53"/>
    <w:rsid w:val="00E83E3E"/>
    <w:rsid w:val="00E84BB0"/>
    <w:rsid w:val="00E95B94"/>
    <w:rsid w:val="00E97255"/>
    <w:rsid w:val="00EA199C"/>
    <w:rsid w:val="00EA249F"/>
    <w:rsid w:val="00EA307D"/>
    <w:rsid w:val="00EA514B"/>
    <w:rsid w:val="00EC3BBD"/>
    <w:rsid w:val="00EC53C5"/>
    <w:rsid w:val="00EC7701"/>
    <w:rsid w:val="00ED3445"/>
    <w:rsid w:val="00ED4D69"/>
    <w:rsid w:val="00EE51C1"/>
    <w:rsid w:val="00EF41EB"/>
    <w:rsid w:val="00EF4604"/>
    <w:rsid w:val="00EF4FBA"/>
    <w:rsid w:val="00F031AC"/>
    <w:rsid w:val="00F12F23"/>
    <w:rsid w:val="00F2443D"/>
    <w:rsid w:val="00F25171"/>
    <w:rsid w:val="00F25837"/>
    <w:rsid w:val="00F3640D"/>
    <w:rsid w:val="00F42670"/>
    <w:rsid w:val="00F50ACA"/>
    <w:rsid w:val="00F5320C"/>
    <w:rsid w:val="00F541E9"/>
    <w:rsid w:val="00F571FE"/>
    <w:rsid w:val="00F632E1"/>
    <w:rsid w:val="00F652AA"/>
    <w:rsid w:val="00F664DD"/>
    <w:rsid w:val="00F712C1"/>
    <w:rsid w:val="00F71F0B"/>
    <w:rsid w:val="00F743A7"/>
    <w:rsid w:val="00F76300"/>
    <w:rsid w:val="00F80D66"/>
    <w:rsid w:val="00F8340E"/>
    <w:rsid w:val="00FB0E49"/>
    <w:rsid w:val="00FD662C"/>
    <w:rsid w:val="00FD66A9"/>
    <w:rsid w:val="00FE3884"/>
    <w:rsid w:val="00FE5FCF"/>
    <w:rsid w:val="00FF4B59"/>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6535A9"/>
  <w15:docId w15:val="{244B4645-EA71-4EC8-ADD6-C873B12D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724"/>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rsid w:val="00DF592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F5922"/>
    <w:rPr>
      <w:rFonts w:ascii="Times New Roman" w:eastAsia="Times New Roman" w:hAnsi="Times New Roman" w:cs="Times New Roman"/>
      <w:sz w:val="24"/>
      <w:szCs w:val="20"/>
    </w:rPr>
  </w:style>
  <w:style w:type="paragraph" w:styleId="Title">
    <w:name w:val="Title"/>
    <w:basedOn w:val="Normal"/>
    <w:link w:val="TitleChar"/>
    <w:qFormat/>
    <w:rsid w:val="00DF5922"/>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DF5922"/>
    <w:rPr>
      <w:rFonts w:ascii="Times New Roman" w:eastAsia="Times New Roman" w:hAnsi="Times New Roman" w:cs="Times New Roman"/>
      <w:sz w:val="24"/>
      <w:szCs w:val="20"/>
      <w:u w:val="single"/>
    </w:rPr>
  </w:style>
  <w:style w:type="character" w:styleId="Strong">
    <w:name w:val="Strong"/>
    <w:basedOn w:val="DefaultParagraphFont"/>
    <w:uiPriority w:val="22"/>
    <w:qFormat/>
    <w:rsid w:val="00EE51C1"/>
    <w:rPr>
      <w:b/>
      <w:bCs/>
    </w:rPr>
  </w:style>
  <w:style w:type="table" w:styleId="TableGrid">
    <w:name w:val="Table Grid"/>
    <w:basedOn w:val="TableNormal"/>
    <w:uiPriority w:val="39"/>
    <w:rsid w:val="004B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445"/>
  </w:style>
  <w:style w:type="character" w:styleId="CommentReference">
    <w:name w:val="annotation reference"/>
    <w:basedOn w:val="DefaultParagraphFont"/>
    <w:uiPriority w:val="99"/>
    <w:semiHidden/>
    <w:unhideWhenUsed/>
    <w:rsid w:val="00DD51A2"/>
    <w:rPr>
      <w:sz w:val="16"/>
      <w:szCs w:val="16"/>
    </w:rPr>
  </w:style>
  <w:style w:type="paragraph" w:styleId="CommentText">
    <w:name w:val="annotation text"/>
    <w:basedOn w:val="Normal"/>
    <w:link w:val="CommentTextChar"/>
    <w:uiPriority w:val="99"/>
    <w:unhideWhenUsed/>
    <w:rsid w:val="00DD51A2"/>
    <w:pPr>
      <w:spacing w:line="240" w:lineRule="auto"/>
    </w:pPr>
    <w:rPr>
      <w:sz w:val="20"/>
      <w:szCs w:val="20"/>
    </w:rPr>
  </w:style>
  <w:style w:type="character" w:customStyle="1" w:styleId="CommentTextChar">
    <w:name w:val="Comment Text Char"/>
    <w:basedOn w:val="DefaultParagraphFont"/>
    <w:link w:val="CommentText"/>
    <w:uiPriority w:val="99"/>
    <w:rsid w:val="00DD51A2"/>
    <w:rPr>
      <w:sz w:val="20"/>
      <w:szCs w:val="20"/>
    </w:rPr>
  </w:style>
  <w:style w:type="paragraph" w:styleId="CommentSubject">
    <w:name w:val="annotation subject"/>
    <w:basedOn w:val="CommentText"/>
    <w:next w:val="CommentText"/>
    <w:link w:val="CommentSubjectChar"/>
    <w:uiPriority w:val="99"/>
    <w:semiHidden/>
    <w:unhideWhenUsed/>
    <w:rsid w:val="00DD51A2"/>
    <w:rPr>
      <w:b/>
      <w:bCs/>
    </w:rPr>
  </w:style>
  <w:style w:type="character" w:customStyle="1" w:styleId="CommentSubjectChar">
    <w:name w:val="Comment Subject Char"/>
    <w:basedOn w:val="CommentTextChar"/>
    <w:link w:val="CommentSubject"/>
    <w:uiPriority w:val="99"/>
    <w:semiHidden/>
    <w:rsid w:val="00DD51A2"/>
    <w:rPr>
      <w:b/>
      <w:bCs/>
      <w:sz w:val="20"/>
      <w:szCs w:val="20"/>
    </w:rPr>
  </w:style>
  <w:style w:type="paragraph" w:styleId="ListParagraph">
    <w:name w:val="List Paragraph"/>
    <w:basedOn w:val="Normal"/>
    <w:uiPriority w:val="34"/>
    <w:qFormat/>
    <w:rsid w:val="003A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9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F77B-5B7F-4B38-909D-B3F351B8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Comerford</dc:creator>
  <cp:keywords/>
  <dc:description/>
  <cp:lastModifiedBy>Christina Denison</cp:lastModifiedBy>
  <cp:revision>53</cp:revision>
  <cp:lastPrinted>2023-06-16T14:01:00Z</cp:lastPrinted>
  <dcterms:created xsi:type="dcterms:W3CDTF">2023-06-07T11:47:00Z</dcterms:created>
  <dcterms:modified xsi:type="dcterms:W3CDTF">2023-07-05T13:08:00Z</dcterms:modified>
</cp:coreProperties>
</file>