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77091" w14:textId="77777777" w:rsidR="0049746F" w:rsidRDefault="0049746F" w:rsidP="0049746F">
      <w:pPr>
        <w:ind w:left="187"/>
        <w:jc w:val="center"/>
        <w:rPr>
          <w:b/>
        </w:rPr>
      </w:pPr>
      <w:r>
        <w:rPr>
          <w:b/>
        </w:rPr>
        <w:t>PROTEST POLICY AND PROCEDURES</w:t>
      </w:r>
    </w:p>
    <w:p w14:paraId="524635C1" w14:textId="77777777" w:rsidR="0049746F" w:rsidRDefault="0049746F" w:rsidP="0049746F">
      <w:pPr>
        <w:jc w:val="center"/>
        <w:rPr>
          <w:b/>
        </w:rPr>
      </w:pPr>
    </w:p>
    <w:p w14:paraId="6A89071A" w14:textId="77777777" w:rsidR="0049746F" w:rsidRPr="00300E63" w:rsidRDefault="0049746F" w:rsidP="0049746F">
      <w:pPr>
        <w:autoSpaceDE w:val="0"/>
        <w:autoSpaceDN w:val="0"/>
        <w:adjustRightInd w:val="0"/>
        <w:ind w:left="187"/>
        <w:rPr>
          <w:b/>
          <w:bCs/>
          <w:color w:val="000000"/>
        </w:rPr>
      </w:pPr>
      <w:r w:rsidRPr="00300E63">
        <w:rPr>
          <w:b/>
          <w:bCs/>
          <w:color w:val="000000"/>
        </w:rPr>
        <w:t>POLICY</w:t>
      </w:r>
    </w:p>
    <w:p w14:paraId="25E2500E" w14:textId="77777777" w:rsidR="0049746F" w:rsidRDefault="0049746F" w:rsidP="0049746F">
      <w:pPr>
        <w:autoSpaceDE w:val="0"/>
        <w:autoSpaceDN w:val="0"/>
        <w:adjustRightInd w:val="0"/>
        <w:ind w:left="187"/>
        <w:rPr>
          <w:color w:val="000000"/>
        </w:rPr>
      </w:pPr>
      <w:r w:rsidRPr="00300E63">
        <w:rPr>
          <w:color w:val="000000"/>
        </w:rPr>
        <w:t xml:space="preserve">It is the policy of the </w:t>
      </w:r>
      <w:r>
        <w:rPr>
          <w:color w:val="000000"/>
        </w:rPr>
        <w:t>Estuary Transit District (ETD)</w:t>
      </w:r>
      <w:r w:rsidRPr="00300E63">
        <w:rPr>
          <w:color w:val="000000"/>
        </w:rPr>
        <w:t xml:space="preserve"> that it is responsible for resolving</w:t>
      </w:r>
      <w:r>
        <w:rPr>
          <w:color w:val="000000"/>
        </w:rPr>
        <w:t xml:space="preserve"> </w:t>
      </w:r>
      <w:r w:rsidRPr="00300E63">
        <w:rPr>
          <w:color w:val="000000"/>
        </w:rPr>
        <w:t xml:space="preserve">all Pre-Bid, Pre-Award and Post-Award Procurement Protest disputes arising out of </w:t>
      </w:r>
      <w:proofErr w:type="gramStart"/>
      <w:r w:rsidRPr="00300E63">
        <w:rPr>
          <w:color w:val="000000"/>
        </w:rPr>
        <w:t>third party</w:t>
      </w:r>
      <w:proofErr w:type="gramEnd"/>
      <w:r>
        <w:rPr>
          <w:color w:val="000000"/>
        </w:rPr>
        <w:t xml:space="preserve"> </w:t>
      </w:r>
      <w:r w:rsidRPr="00300E63">
        <w:rPr>
          <w:color w:val="000000"/>
        </w:rPr>
        <w:t xml:space="preserve">procurements using good administrative practices and </w:t>
      </w:r>
      <w:r>
        <w:rPr>
          <w:color w:val="000000"/>
        </w:rPr>
        <w:t>sound business judgment. It is ETD</w:t>
      </w:r>
      <w:r w:rsidRPr="00300E63">
        <w:rPr>
          <w:color w:val="000000"/>
        </w:rPr>
        <w:t>’s intention</w:t>
      </w:r>
      <w:r>
        <w:rPr>
          <w:color w:val="000000"/>
        </w:rPr>
        <w:t xml:space="preserve"> </w:t>
      </w:r>
      <w:r w:rsidRPr="00300E63">
        <w:rPr>
          <w:color w:val="000000"/>
        </w:rPr>
        <w:t>that its procurement process provides for fair and open competition in compliance with federal and state</w:t>
      </w:r>
      <w:r>
        <w:rPr>
          <w:color w:val="000000"/>
        </w:rPr>
        <w:t xml:space="preserve"> </w:t>
      </w:r>
      <w:r w:rsidRPr="00300E63">
        <w:rPr>
          <w:color w:val="000000"/>
        </w:rPr>
        <w:t xml:space="preserve">laws and </w:t>
      </w:r>
      <w:r>
        <w:rPr>
          <w:color w:val="000000"/>
        </w:rPr>
        <w:t>ETD</w:t>
      </w:r>
      <w:r w:rsidRPr="00300E63">
        <w:rPr>
          <w:color w:val="000000"/>
        </w:rPr>
        <w:t xml:space="preserve"> policies.</w:t>
      </w:r>
    </w:p>
    <w:p w14:paraId="7625FA3B" w14:textId="77777777" w:rsidR="0049746F" w:rsidRPr="00300E63" w:rsidRDefault="0049746F" w:rsidP="0049746F">
      <w:pPr>
        <w:autoSpaceDE w:val="0"/>
        <w:autoSpaceDN w:val="0"/>
        <w:adjustRightInd w:val="0"/>
        <w:rPr>
          <w:color w:val="000000"/>
        </w:rPr>
      </w:pPr>
    </w:p>
    <w:p w14:paraId="29FD9EC6" w14:textId="77777777" w:rsidR="0049746F" w:rsidRDefault="0049746F" w:rsidP="0049746F">
      <w:pPr>
        <w:autoSpaceDE w:val="0"/>
        <w:autoSpaceDN w:val="0"/>
        <w:adjustRightInd w:val="0"/>
        <w:ind w:left="187"/>
        <w:rPr>
          <w:color w:val="000000"/>
        </w:rPr>
      </w:pPr>
      <w:r>
        <w:rPr>
          <w:color w:val="000000"/>
        </w:rPr>
        <w:t>ETD</w:t>
      </w:r>
      <w:r w:rsidRPr="00300E63">
        <w:rPr>
          <w:color w:val="000000"/>
        </w:rPr>
        <w:t xml:space="preserve"> has established these Pre-Bid, Pre-Award and Post-Award Procurement Protest Policy and</w:t>
      </w:r>
      <w:r>
        <w:rPr>
          <w:color w:val="000000"/>
        </w:rPr>
        <w:t xml:space="preserve"> </w:t>
      </w:r>
      <w:r w:rsidRPr="00300E63">
        <w:rPr>
          <w:color w:val="000000"/>
        </w:rPr>
        <w:t>Procedures so that all procurement protests/disputes are filed, processed and resolved in a manner</w:t>
      </w:r>
      <w:r>
        <w:rPr>
          <w:color w:val="000000"/>
        </w:rPr>
        <w:t xml:space="preserve"> </w:t>
      </w:r>
      <w:r w:rsidRPr="00300E63">
        <w:rPr>
          <w:color w:val="000000"/>
        </w:rPr>
        <w:t xml:space="preserve">consistent with the requirements of the Federal Transit Administration (FTA) Circular (4220.1F) </w:t>
      </w:r>
      <w:r w:rsidRPr="00300E63">
        <w:rPr>
          <w:i/>
          <w:iCs/>
          <w:color w:val="000000"/>
        </w:rPr>
        <w:t>Third</w:t>
      </w:r>
      <w:r>
        <w:rPr>
          <w:i/>
          <w:iCs/>
          <w:color w:val="000000"/>
        </w:rPr>
        <w:t xml:space="preserve"> </w:t>
      </w:r>
      <w:r w:rsidRPr="00300E63">
        <w:rPr>
          <w:i/>
          <w:iCs/>
          <w:color w:val="000000"/>
        </w:rPr>
        <w:t xml:space="preserve">Party Contracting Guidance, </w:t>
      </w:r>
      <w:r w:rsidRPr="00300E63">
        <w:rPr>
          <w:color w:val="000000"/>
        </w:rPr>
        <w:t xml:space="preserve">dated November 1, 2008, which are on file at </w:t>
      </w:r>
      <w:r>
        <w:rPr>
          <w:color w:val="000000"/>
        </w:rPr>
        <w:t>ETD</w:t>
      </w:r>
      <w:r w:rsidRPr="00300E63">
        <w:rPr>
          <w:color w:val="000000"/>
        </w:rPr>
        <w:t>’s Administrative</w:t>
      </w:r>
      <w:r>
        <w:rPr>
          <w:color w:val="000000"/>
        </w:rPr>
        <w:t xml:space="preserve"> </w:t>
      </w:r>
      <w:r w:rsidRPr="00300E63">
        <w:rPr>
          <w:color w:val="000000"/>
        </w:rPr>
        <w:t xml:space="preserve">Offices, </w:t>
      </w:r>
      <w:r>
        <w:rPr>
          <w:color w:val="000000"/>
        </w:rPr>
        <w:t>91 N Main St, Middletown 06457</w:t>
      </w:r>
      <w:r w:rsidRPr="00300E63">
        <w:rPr>
          <w:color w:val="000000"/>
        </w:rPr>
        <w:t xml:space="preserve"> and available upon request.</w:t>
      </w:r>
    </w:p>
    <w:p w14:paraId="01C0D6CB" w14:textId="77777777" w:rsidR="0049746F" w:rsidRPr="00300E63" w:rsidRDefault="0049746F" w:rsidP="0049746F">
      <w:pPr>
        <w:autoSpaceDE w:val="0"/>
        <w:autoSpaceDN w:val="0"/>
        <w:adjustRightInd w:val="0"/>
        <w:rPr>
          <w:color w:val="000000"/>
        </w:rPr>
      </w:pPr>
    </w:p>
    <w:p w14:paraId="5DFCDA73" w14:textId="77777777" w:rsidR="0049746F" w:rsidRPr="00300E63" w:rsidRDefault="0049746F" w:rsidP="0049746F">
      <w:pPr>
        <w:autoSpaceDE w:val="0"/>
        <w:autoSpaceDN w:val="0"/>
        <w:adjustRightInd w:val="0"/>
        <w:ind w:left="187"/>
        <w:rPr>
          <w:b/>
          <w:bCs/>
          <w:color w:val="000000"/>
        </w:rPr>
      </w:pPr>
      <w:r w:rsidRPr="00300E63">
        <w:rPr>
          <w:b/>
          <w:bCs/>
          <w:color w:val="000000"/>
        </w:rPr>
        <w:t>APPLICABILITY</w:t>
      </w:r>
    </w:p>
    <w:p w14:paraId="48554A2B" w14:textId="77777777" w:rsidR="0049746F" w:rsidRDefault="0049746F" w:rsidP="0049746F">
      <w:pPr>
        <w:autoSpaceDE w:val="0"/>
        <w:autoSpaceDN w:val="0"/>
        <w:adjustRightInd w:val="0"/>
        <w:ind w:left="187"/>
        <w:rPr>
          <w:color w:val="000000"/>
        </w:rPr>
      </w:pPr>
      <w:r w:rsidRPr="00300E63">
        <w:rPr>
          <w:color w:val="000000"/>
        </w:rPr>
        <w:t xml:space="preserve">This regulation is applicable to all </w:t>
      </w:r>
      <w:r>
        <w:rPr>
          <w:color w:val="000000"/>
        </w:rPr>
        <w:t>ETD</w:t>
      </w:r>
      <w:r w:rsidRPr="00300E63">
        <w:rPr>
          <w:color w:val="000000"/>
        </w:rPr>
        <w:t xml:space="preserve"> employees. This regulation is applicable to any Interested</w:t>
      </w:r>
      <w:r>
        <w:rPr>
          <w:color w:val="000000"/>
        </w:rPr>
        <w:t xml:space="preserve"> </w:t>
      </w:r>
      <w:r w:rsidRPr="00300E63">
        <w:rPr>
          <w:color w:val="000000"/>
        </w:rPr>
        <w:t xml:space="preserve">Party as defined herein who has a protest/dispute against </w:t>
      </w:r>
      <w:r>
        <w:rPr>
          <w:color w:val="000000"/>
        </w:rPr>
        <w:t xml:space="preserve">ETD </w:t>
      </w:r>
      <w:r w:rsidRPr="00300E63">
        <w:rPr>
          <w:color w:val="000000"/>
        </w:rPr>
        <w:t>in the Pre-Bid, Pre-Award and Post-Award procurement phase.</w:t>
      </w:r>
    </w:p>
    <w:p w14:paraId="0B0B1CAE" w14:textId="77777777" w:rsidR="0049746F" w:rsidRPr="00300E63" w:rsidRDefault="0049746F" w:rsidP="0049746F">
      <w:pPr>
        <w:autoSpaceDE w:val="0"/>
        <w:autoSpaceDN w:val="0"/>
        <w:adjustRightInd w:val="0"/>
        <w:rPr>
          <w:color w:val="000000"/>
        </w:rPr>
      </w:pPr>
    </w:p>
    <w:p w14:paraId="4457F682" w14:textId="77777777" w:rsidR="0049746F" w:rsidRPr="00300E63" w:rsidRDefault="0049746F" w:rsidP="0049746F">
      <w:pPr>
        <w:autoSpaceDE w:val="0"/>
        <w:autoSpaceDN w:val="0"/>
        <w:adjustRightInd w:val="0"/>
        <w:ind w:left="187"/>
        <w:rPr>
          <w:b/>
          <w:bCs/>
          <w:color w:val="000000"/>
        </w:rPr>
      </w:pPr>
      <w:r w:rsidRPr="00300E63">
        <w:rPr>
          <w:b/>
          <w:bCs/>
          <w:color w:val="000000"/>
        </w:rPr>
        <w:t>DEFINITIONS</w:t>
      </w:r>
    </w:p>
    <w:p w14:paraId="7D98B503" w14:textId="77777777" w:rsidR="0049746F" w:rsidRDefault="0049746F" w:rsidP="0049746F">
      <w:pPr>
        <w:autoSpaceDE w:val="0"/>
        <w:autoSpaceDN w:val="0"/>
        <w:adjustRightInd w:val="0"/>
        <w:ind w:left="187"/>
        <w:rPr>
          <w:color w:val="000000"/>
        </w:rPr>
      </w:pPr>
      <w:r w:rsidRPr="00300E63">
        <w:rPr>
          <w:b/>
          <w:bCs/>
          <w:color w:val="000000"/>
        </w:rPr>
        <w:t xml:space="preserve">“Common Grant Rules” </w:t>
      </w:r>
      <w:r w:rsidRPr="00300E63">
        <w:rPr>
          <w:color w:val="000000"/>
        </w:rPr>
        <w:t>refers to the Department of Transportation regulations “Uniform Administrative</w:t>
      </w:r>
      <w:r>
        <w:rPr>
          <w:color w:val="000000"/>
        </w:rPr>
        <w:t xml:space="preserve"> </w:t>
      </w:r>
      <w:r w:rsidRPr="00300E63">
        <w:rPr>
          <w:color w:val="000000"/>
        </w:rPr>
        <w:t>Requirements for Grants and Cooperative Agreements to State and Local Governments,” 49 CFR Part 18,</w:t>
      </w:r>
      <w:r>
        <w:rPr>
          <w:color w:val="000000"/>
        </w:rPr>
        <w:t xml:space="preserve"> </w:t>
      </w:r>
      <w:r w:rsidRPr="00300E63">
        <w:rPr>
          <w:color w:val="000000"/>
        </w:rPr>
        <w:t>which apply to Federal grants and cooperative agreements with governmental recipients</w:t>
      </w:r>
      <w:r>
        <w:rPr>
          <w:color w:val="000000"/>
        </w:rPr>
        <w:t>/subrecipients</w:t>
      </w:r>
      <w:r w:rsidRPr="00300E63">
        <w:rPr>
          <w:color w:val="000000"/>
        </w:rPr>
        <w:t xml:space="preserve"> of Federal</w:t>
      </w:r>
      <w:r>
        <w:rPr>
          <w:color w:val="000000"/>
        </w:rPr>
        <w:t xml:space="preserve"> </w:t>
      </w:r>
      <w:r w:rsidRPr="00300E63">
        <w:rPr>
          <w:color w:val="000000"/>
        </w:rPr>
        <w:t>assistance including Indian tribal governments.</w:t>
      </w:r>
    </w:p>
    <w:p w14:paraId="6665217C" w14:textId="77777777" w:rsidR="0049746F" w:rsidRPr="00300E63" w:rsidRDefault="0049746F" w:rsidP="0049746F">
      <w:pPr>
        <w:autoSpaceDE w:val="0"/>
        <w:autoSpaceDN w:val="0"/>
        <w:adjustRightInd w:val="0"/>
        <w:rPr>
          <w:color w:val="000000"/>
        </w:rPr>
      </w:pPr>
    </w:p>
    <w:p w14:paraId="50C27361" w14:textId="77777777" w:rsidR="0049746F" w:rsidRDefault="0049746F" w:rsidP="0049746F">
      <w:pPr>
        <w:autoSpaceDE w:val="0"/>
        <w:autoSpaceDN w:val="0"/>
        <w:adjustRightInd w:val="0"/>
        <w:ind w:left="187"/>
        <w:rPr>
          <w:color w:val="000000"/>
        </w:rPr>
      </w:pPr>
      <w:r w:rsidRPr="00300E63">
        <w:rPr>
          <w:b/>
          <w:bCs/>
          <w:color w:val="000000"/>
        </w:rPr>
        <w:t xml:space="preserve">“Interested Party” </w:t>
      </w:r>
      <w:r w:rsidRPr="00300E63">
        <w:rPr>
          <w:color w:val="000000"/>
        </w:rPr>
        <w:t>means a party that is an actual or prospective bidder or offeror whose direct economic</w:t>
      </w:r>
      <w:r>
        <w:rPr>
          <w:color w:val="000000"/>
        </w:rPr>
        <w:t xml:space="preserve"> </w:t>
      </w:r>
      <w:r w:rsidRPr="00300E63">
        <w:rPr>
          <w:color w:val="000000"/>
        </w:rPr>
        <w:t xml:space="preserve">interest would be affected by the award or failure to award the </w:t>
      </w:r>
      <w:proofErr w:type="gramStart"/>
      <w:r w:rsidRPr="00300E63">
        <w:rPr>
          <w:color w:val="000000"/>
        </w:rPr>
        <w:t>third party</w:t>
      </w:r>
      <w:proofErr w:type="gramEnd"/>
      <w:r w:rsidRPr="00300E63">
        <w:rPr>
          <w:color w:val="000000"/>
        </w:rPr>
        <w:t xml:space="preserve"> contract at issue. A</w:t>
      </w:r>
      <w:r>
        <w:rPr>
          <w:color w:val="000000"/>
        </w:rPr>
        <w:t xml:space="preserve"> </w:t>
      </w:r>
      <w:r w:rsidRPr="00300E63">
        <w:rPr>
          <w:color w:val="000000"/>
        </w:rPr>
        <w:t>subcontractor does not qualify as an “interested party”.</w:t>
      </w:r>
    </w:p>
    <w:p w14:paraId="4ED12834" w14:textId="77777777" w:rsidR="0049746F" w:rsidRPr="00300E63" w:rsidRDefault="0049746F" w:rsidP="0049746F">
      <w:pPr>
        <w:autoSpaceDE w:val="0"/>
        <w:autoSpaceDN w:val="0"/>
        <w:adjustRightInd w:val="0"/>
        <w:rPr>
          <w:color w:val="000000"/>
        </w:rPr>
      </w:pPr>
    </w:p>
    <w:p w14:paraId="4900362C" w14:textId="77777777" w:rsidR="0049746F" w:rsidRDefault="0049746F" w:rsidP="0049746F">
      <w:pPr>
        <w:autoSpaceDE w:val="0"/>
        <w:autoSpaceDN w:val="0"/>
        <w:adjustRightInd w:val="0"/>
        <w:ind w:left="187"/>
        <w:rPr>
          <w:color w:val="000000"/>
        </w:rPr>
      </w:pPr>
      <w:r w:rsidRPr="00300E63">
        <w:rPr>
          <w:b/>
          <w:bCs/>
          <w:color w:val="000000"/>
        </w:rPr>
        <w:t xml:space="preserve">“Protest” </w:t>
      </w:r>
      <w:r w:rsidRPr="00300E63">
        <w:rPr>
          <w:color w:val="000000"/>
        </w:rPr>
        <w:t>means a formal declaration of disapproval or objection issued by a concerned person, group, or</w:t>
      </w:r>
      <w:r>
        <w:rPr>
          <w:color w:val="000000"/>
        </w:rPr>
        <w:t xml:space="preserve"> </w:t>
      </w:r>
      <w:r w:rsidRPr="00300E63">
        <w:rPr>
          <w:color w:val="000000"/>
        </w:rPr>
        <w:t>organization that arises during the procurement process. A Protest is a potential bidder’s or contractor’s</w:t>
      </w:r>
      <w:r>
        <w:rPr>
          <w:color w:val="000000"/>
        </w:rPr>
        <w:t xml:space="preserve"> </w:t>
      </w:r>
      <w:r w:rsidRPr="00300E63">
        <w:rPr>
          <w:color w:val="000000"/>
        </w:rPr>
        <w:t>remedy for correcting a perceived wrong in the procurement process. See “Types of Protests” below.</w:t>
      </w:r>
    </w:p>
    <w:p w14:paraId="282B0350" w14:textId="77777777" w:rsidR="0049746F" w:rsidRPr="00300E63" w:rsidRDefault="0049746F" w:rsidP="0049746F">
      <w:pPr>
        <w:autoSpaceDE w:val="0"/>
        <w:autoSpaceDN w:val="0"/>
        <w:adjustRightInd w:val="0"/>
        <w:rPr>
          <w:color w:val="000000"/>
        </w:rPr>
      </w:pPr>
    </w:p>
    <w:p w14:paraId="152AD8ED" w14:textId="77777777" w:rsidR="0049746F" w:rsidRDefault="0049746F" w:rsidP="0049746F">
      <w:pPr>
        <w:autoSpaceDE w:val="0"/>
        <w:autoSpaceDN w:val="0"/>
        <w:adjustRightInd w:val="0"/>
        <w:ind w:left="187"/>
        <w:rPr>
          <w:color w:val="000000"/>
        </w:rPr>
      </w:pPr>
      <w:r w:rsidRPr="00300E63">
        <w:rPr>
          <w:b/>
          <w:bCs/>
          <w:color w:val="000000"/>
        </w:rPr>
        <w:t xml:space="preserve">“Protester” </w:t>
      </w:r>
      <w:r w:rsidRPr="00300E63">
        <w:rPr>
          <w:color w:val="000000"/>
        </w:rPr>
        <w:t>means a person, group, or organization that files a formal declaration of disapproval or</w:t>
      </w:r>
      <w:r>
        <w:rPr>
          <w:color w:val="000000"/>
        </w:rPr>
        <w:t xml:space="preserve"> </w:t>
      </w:r>
      <w:r w:rsidRPr="00300E63">
        <w:rPr>
          <w:color w:val="000000"/>
        </w:rPr>
        <w:t>objection. A protester must qualify as an “interested party”.</w:t>
      </w:r>
    </w:p>
    <w:p w14:paraId="27D0ACCE" w14:textId="77777777" w:rsidR="0049746F" w:rsidRPr="00300E63" w:rsidRDefault="0049746F" w:rsidP="0049746F">
      <w:pPr>
        <w:autoSpaceDE w:val="0"/>
        <w:autoSpaceDN w:val="0"/>
        <w:adjustRightInd w:val="0"/>
        <w:rPr>
          <w:color w:val="000000"/>
        </w:rPr>
      </w:pPr>
    </w:p>
    <w:p w14:paraId="0B8210DD" w14:textId="77777777" w:rsidR="0049746F" w:rsidRPr="00300E63" w:rsidRDefault="0049746F" w:rsidP="0049746F">
      <w:pPr>
        <w:autoSpaceDE w:val="0"/>
        <w:autoSpaceDN w:val="0"/>
        <w:adjustRightInd w:val="0"/>
        <w:ind w:left="187"/>
        <w:rPr>
          <w:color w:val="000000"/>
        </w:rPr>
      </w:pPr>
      <w:r w:rsidRPr="00300E63">
        <w:rPr>
          <w:b/>
          <w:bCs/>
          <w:color w:val="000000"/>
        </w:rPr>
        <w:t xml:space="preserve">“Types of Protests”: </w:t>
      </w:r>
      <w:r w:rsidRPr="00300E63">
        <w:rPr>
          <w:color w:val="000000"/>
        </w:rPr>
        <w:t>There are three basic types of Protests pursuant to this regulation, based on the time</w:t>
      </w:r>
      <w:r>
        <w:rPr>
          <w:color w:val="000000"/>
        </w:rPr>
        <w:t xml:space="preserve"> </w:t>
      </w:r>
      <w:r w:rsidRPr="00300E63">
        <w:rPr>
          <w:color w:val="000000"/>
        </w:rPr>
        <w:t>in the procurement cycle when they occur:</w:t>
      </w:r>
    </w:p>
    <w:p w14:paraId="17CDA057" w14:textId="77777777" w:rsidR="0049746F" w:rsidRDefault="0049746F" w:rsidP="0049746F">
      <w:pPr>
        <w:autoSpaceDE w:val="0"/>
        <w:autoSpaceDN w:val="0"/>
        <w:adjustRightInd w:val="0"/>
        <w:rPr>
          <w:b/>
          <w:bCs/>
          <w:color w:val="000000"/>
        </w:rPr>
      </w:pPr>
    </w:p>
    <w:p w14:paraId="468CE9F8" w14:textId="77777777" w:rsidR="0049746F" w:rsidRPr="00300E63" w:rsidRDefault="0049746F" w:rsidP="0049746F">
      <w:pPr>
        <w:numPr>
          <w:ilvl w:val="6"/>
          <w:numId w:val="6"/>
        </w:numPr>
        <w:autoSpaceDE w:val="0"/>
        <w:autoSpaceDN w:val="0"/>
        <w:adjustRightInd w:val="0"/>
        <w:ind w:left="1800"/>
        <w:rPr>
          <w:color w:val="000000"/>
        </w:rPr>
      </w:pPr>
      <w:r w:rsidRPr="00300E63">
        <w:rPr>
          <w:color w:val="000000"/>
        </w:rPr>
        <w:t>A pre-bid or solicitation phase Protest is received prior to the bid opening or</w:t>
      </w:r>
      <w:r>
        <w:rPr>
          <w:color w:val="000000"/>
        </w:rPr>
        <w:t xml:space="preserve"> </w:t>
      </w:r>
      <w:r w:rsidRPr="00300E63">
        <w:rPr>
          <w:color w:val="000000"/>
        </w:rPr>
        <w:t xml:space="preserve">proposal due date. </w:t>
      </w:r>
      <w:r>
        <w:rPr>
          <w:color w:val="000000"/>
        </w:rPr>
        <w:t xml:space="preserve"> </w:t>
      </w:r>
      <w:r w:rsidRPr="00300E63">
        <w:rPr>
          <w:color w:val="000000"/>
        </w:rPr>
        <w:t>Pre-bid protests are those based on the content of the initial</w:t>
      </w:r>
      <w:r>
        <w:rPr>
          <w:color w:val="000000"/>
        </w:rPr>
        <w:t xml:space="preserve"> </w:t>
      </w:r>
      <w:r w:rsidRPr="00300E63">
        <w:rPr>
          <w:color w:val="000000"/>
        </w:rPr>
        <w:t xml:space="preserve">Notice and/or solicitation published by </w:t>
      </w:r>
      <w:r>
        <w:rPr>
          <w:color w:val="000000"/>
        </w:rPr>
        <w:t>ETD</w:t>
      </w:r>
      <w:r w:rsidRPr="00300E63">
        <w:rPr>
          <w:color w:val="000000"/>
        </w:rPr>
        <w:t xml:space="preserve"> requesting bids from vendors or</w:t>
      </w:r>
      <w:r>
        <w:rPr>
          <w:color w:val="000000"/>
        </w:rPr>
        <w:t xml:space="preserve"> </w:t>
      </w:r>
      <w:r w:rsidRPr="00300E63">
        <w:rPr>
          <w:color w:val="000000"/>
        </w:rPr>
        <w:t>other interested parties.</w:t>
      </w:r>
    </w:p>
    <w:p w14:paraId="26F8AA0F" w14:textId="77777777" w:rsidR="0049746F" w:rsidRDefault="0049746F" w:rsidP="0049746F">
      <w:pPr>
        <w:autoSpaceDE w:val="0"/>
        <w:autoSpaceDN w:val="0"/>
        <w:adjustRightInd w:val="0"/>
        <w:rPr>
          <w:b/>
          <w:bCs/>
          <w:color w:val="000000"/>
        </w:rPr>
      </w:pPr>
    </w:p>
    <w:p w14:paraId="2CA0C88F" w14:textId="77777777" w:rsidR="0049746F" w:rsidRPr="00300E63" w:rsidRDefault="0049746F" w:rsidP="0049746F">
      <w:pPr>
        <w:numPr>
          <w:ilvl w:val="6"/>
          <w:numId w:val="6"/>
        </w:numPr>
        <w:autoSpaceDE w:val="0"/>
        <w:autoSpaceDN w:val="0"/>
        <w:adjustRightInd w:val="0"/>
        <w:ind w:left="1800"/>
        <w:rPr>
          <w:color w:val="000000"/>
        </w:rPr>
      </w:pPr>
      <w:r w:rsidRPr="00300E63">
        <w:rPr>
          <w:color w:val="000000"/>
        </w:rPr>
        <w:t xml:space="preserve">A pre-award Protest is a </w:t>
      </w:r>
      <w:proofErr w:type="gramStart"/>
      <w:r w:rsidRPr="00300E63">
        <w:rPr>
          <w:color w:val="000000"/>
        </w:rPr>
        <w:t>protest against</w:t>
      </w:r>
      <w:proofErr w:type="gramEnd"/>
      <w:r w:rsidRPr="00300E63">
        <w:rPr>
          <w:color w:val="000000"/>
        </w:rPr>
        <w:t xml:space="preserve"> making an award and is received after receipt</w:t>
      </w:r>
      <w:r>
        <w:rPr>
          <w:color w:val="000000"/>
        </w:rPr>
        <w:t xml:space="preserve"> </w:t>
      </w:r>
      <w:r w:rsidRPr="00300E63">
        <w:rPr>
          <w:color w:val="000000"/>
        </w:rPr>
        <w:t>of proposals or bids, but before award of a contract.</w:t>
      </w:r>
    </w:p>
    <w:p w14:paraId="2F3AD7E3" w14:textId="77777777" w:rsidR="0049746F" w:rsidRDefault="0049746F" w:rsidP="0049746F">
      <w:pPr>
        <w:autoSpaceDE w:val="0"/>
        <w:autoSpaceDN w:val="0"/>
        <w:adjustRightInd w:val="0"/>
        <w:rPr>
          <w:b/>
          <w:bCs/>
          <w:color w:val="000000"/>
        </w:rPr>
      </w:pPr>
    </w:p>
    <w:p w14:paraId="7F78F34E" w14:textId="77777777" w:rsidR="0049746F" w:rsidRPr="00300E63" w:rsidRDefault="0049746F" w:rsidP="0049746F">
      <w:pPr>
        <w:numPr>
          <w:ilvl w:val="6"/>
          <w:numId w:val="6"/>
        </w:numPr>
        <w:autoSpaceDE w:val="0"/>
        <w:autoSpaceDN w:val="0"/>
        <w:adjustRightInd w:val="0"/>
        <w:ind w:left="1800"/>
        <w:rPr>
          <w:color w:val="000000"/>
        </w:rPr>
      </w:pPr>
      <w:r w:rsidRPr="00300E63">
        <w:rPr>
          <w:color w:val="000000"/>
        </w:rPr>
        <w:t xml:space="preserve">A post-award Protest is a protest received after </w:t>
      </w:r>
      <w:proofErr w:type="gramStart"/>
      <w:r w:rsidRPr="00300E63">
        <w:rPr>
          <w:color w:val="000000"/>
        </w:rPr>
        <w:t>award</w:t>
      </w:r>
      <w:proofErr w:type="gramEnd"/>
      <w:r w:rsidRPr="00300E63">
        <w:rPr>
          <w:color w:val="000000"/>
        </w:rPr>
        <w:t xml:space="preserve"> of a contract. A post-award</w:t>
      </w:r>
      <w:r>
        <w:rPr>
          <w:color w:val="000000"/>
        </w:rPr>
        <w:t xml:space="preserve"> </w:t>
      </w:r>
      <w:r w:rsidRPr="00300E63">
        <w:rPr>
          <w:color w:val="000000"/>
        </w:rPr>
        <w:t xml:space="preserve">Protest must be received within 5 business days of the making of the award. </w:t>
      </w:r>
      <w:r>
        <w:rPr>
          <w:color w:val="000000"/>
        </w:rPr>
        <w:t xml:space="preserve"> </w:t>
      </w:r>
      <w:r w:rsidRPr="00300E63">
        <w:rPr>
          <w:color w:val="000000"/>
        </w:rPr>
        <w:t>A post</w:t>
      </w:r>
      <w:r>
        <w:rPr>
          <w:color w:val="000000"/>
        </w:rPr>
        <w:t>-</w:t>
      </w:r>
      <w:r w:rsidRPr="00300E63">
        <w:rPr>
          <w:color w:val="000000"/>
        </w:rPr>
        <w:t>award</w:t>
      </w:r>
      <w:r>
        <w:rPr>
          <w:color w:val="000000"/>
        </w:rPr>
        <w:t xml:space="preserve"> </w:t>
      </w:r>
      <w:r w:rsidRPr="00300E63">
        <w:rPr>
          <w:color w:val="000000"/>
        </w:rPr>
        <w:t>Protest generally alleges a violation of applicable federal or state law and/or</w:t>
      </w:r>
      <w:r>
        <w:rPr>
          <w:color w:val="000000"/>
        </w:rPr>
        <w:t xml:space="preserve"> ETD</w:t>
      </w:r>
      <w:r w:rsidRPr="00300E63">
        <w:rPr>
          <w:color w:val="000000"/>
        </w:rPr>
        <w:t xml:space="preserve"> policy or procedures relative to the seeking, evaluating and/or awarding of</w:t>
      </w:r>
      <w:r>
        <w:rPr>
          <w:color w:val="000000"/>
        </w:rPr>
        <w:t xml:space="preserve"> </w:t>
      </w:r>
      <w:r w:rsidRPr="00300E63">
        <w:rPr>
          <w:color w:val="000000"/>
        </w:rPr>
        <w:t>the contract.</w:t>
      </w:r>
    </w:p>
    <w:p w14:paraId="5E1B015A" w14:textId="77777777" w:rsidR="0049746F" w:rsidRDefault="0049746F" w:rsidP="0049746F">
      <w:pPr>
        <w:autoSpaceDE w:val="0"/>
        <w:autoSpaceDN w:val="0"/>
        <w:adjustRightInd w:val="0"/>
        <w:rPr>
          <w:b/>
          <w:bCs/>
          <w:color w:val="000000"/>
        </w:rPr>
      </w:pPr>
    </w:p>
    <w:p w14:paraId="4D0FCA03" w14:textId="77777777" w:rsidR="0049746F" w:rsidRPr="00300E63" w:rsidRDefault="0049746F" w:rsidP="0049746F">
      <w:pPr>
        <w:autoSpaceDE w:val="0"/>
        <w:autoSpaceDN w:val="0"/>
        <w:adjustRightInd w:val="0"/>
        <w:ind w:left="187"/>
        <w:rPr>
          <w:b/>
          <w:bCs/>
          <w:color w:val="000000"/>
        </w:rPr>
      </w:pPr>
      <w:r w:rsidRPr="00300E63">
        <w:rPr>
          <w:b/>
          <w:bCs/>
          <w:color w:val="000000"/>
        </w:rPr>
        <w:t>STANDARDS</w:t>
      </w:r>
    </w:p>
    <w:p w14:paraId="71C5B9A4" w14:textId="77777777" w:rsidR="0049746F" w:rsidRDefault="0049746F" w:rsidP="0049746F">
      <w:pPr>
        <w:autoSpaceDE w:val="0"/>
        <w:autoSpaceDN w:val="0"/>
        <w:adjustRightInd w:val="0"/>
        <w:ind w:left="187"/>
        <w:rPr>
          <w:color w:val="000000"/>
        </w:rPr>
      </w:pPr>
      <w:r w:rsidRPr="00300E63">
        <w:rPr>
          <w:color w:val="000000"/>
        </w:rPr>
        <w:t xml:space="preserve">All Protests must be filed in writing with the </w:t>
      </w:r>
      <w:r>
        <w:rPr>
          <w:color w:val="000000"/>
        </w:rPr>
        <w:t>ETD</w:t>
      </w:r>
      <w:r w:rsidRPr="00300E63">
        <w:rPr>
          <w:color w:val="000000"/>
        </w:rPr>
        <w:t xml:space="preserve"> Administrative Offices, </w:t>
      </w:r>
      <w:r>
        <w:rPr>
          <w:color w:val="000000"/>
        </w:rPr>
        <w:t>Procurement Officer, 91 N Main St, Middletown, CT 06457 or</w:t>
      </w:r>
      <w:r w:rsidRPr="00300E63">
        <w:rPr>
          <w:color w:val="000000"/>
        </w:rPr>
        <w:t xml:space="preserve"> electronically at</w:t>
      </w:r>
      <w:r>
        <w:rPr>
          <w:color w:val="000000"/>
        </w:rPr>
        <w:t xml:space="preserve"> jcomerford@estuarytransit.org</w:t>
      </w:r>
      <w:r>
        <w:rPr>
          <w:color w:val="0000FF"/>
        </w:rPr>
        <w:t xml:space="preserve">. </w:t>
      </w:r>
      <w:r w:rsidRPr="00300E63">
        <w:rPr>
          <w:color w:val="000000"/>
        </w:rPr>
        <w:t xml:space="preserve"> No other location is acceptable.</w:t>
      </w:r>
      <w:r>
        <w:rPr>
          <w:color w:val="000000"/>
        </w:rPr>
        <w:t xml:space="preserve">  </w:t>
      </w:r>
    </w:p>
    <w:p w14:paraId="496FBFA4" w14:textId="77777777" w:rsidR="0049746F" w:rsidRPr="00300E63" w:rsidRDefault="0049746F" w:rsidP="0049746F">
      <w:pPr>
        <w:autoSpaceDE w:val="0"/>
        <w:autoSpaceDN w:val="0"/>
        <w:adjustRightInd w:val="0"/>
        <w:rPr>
          <w:color w:val="000000"/>
        </w:rPr>
      </w:pPr>
    </w:p>
    <w:p w14:paraId="5F17C22E" w14:textId="77777777" w:rsidR="0049746F" w:rsidRDefault="0049746F" w:rsidP="0049746F">
      <w:pPr>
        <w:autoSpaceDE w:val="0"/>
        <w:autoSpaceDN w:val="0"/>
        <w:adjustRightInd w:val="0"/>
        <w:ind w:left="187"/>
        <w:rPr>
          <w:color w:val="000000"/>
        </w:rPr>
      </w:pPr>
      <w:r w:rsidRPr="00300E63">
        <w:rPr>
          <w:color w:val="000000"/>
        </w:rPr>
        <w:t>A Protest must be in writing and set forth the specific grounds of the dispute and shall be fully supported with</w:t>
      </w:r>
      <w:r>
        <w:rPr>
          <w:color w:val="000000"/>
        </w:rPr>
        <w:t xml:space="preserve"> </w:t>
      </w:r>
      <w:r w:rsidRPr="00300E63">
        <w:rPr>
          <w:color w:val="000000"/>
        </w:rPr>
        <w:t>technical data, test results, or other pertinent information related to the subject being protested. The Protest</w:t>
      </w:r>
      <w:r>
        <w:rPr>
          <w:color w:val="000000"/>
        </w:rPr>
        <w:t xml:space="preserve"> </w:t>
      </w:r>
      <w:r w:rsidRPr="00300E63">
        <w:rPr>
          <w:color w:val="000000"/>
        </w:rPr>
        <w:t>shall include the name and contact information of the Protester, solicitation/contract number or description, and</w:t>
      </w:r>
      <w:r>
        <w:rPr>
          <w:color w:val="000000"/>
        </w:rPr>
        <w:t xml:space="preserve"> </w:t>
      </w:r>
      <w:r w:rsidRPr="00300E63">
        <w:rPr>
          <w:color w:val="000000"/>
        </w:rPr>
        <w:t>what remedy the Protester is seeking. The Protester is responsible for adhering to this regulation.</w:t>
      </w:r>
    </w:p>
    <w:p w14:paraId="2D81431E" w14:textId="77777777" w:rsidR="0049746F" w:rsidRPr="00300E63" w:rsidRDefault="0049746F" w:rsidP="0049746F">
      <w:pPr>
        <w:autoSpaceDE w:val="0"/>
        <w:autoSpaceDN w:val="0"/>
        <w:adjustRightInd w:val="0"/>
        <w:rPr>
          <w:color w:val="000000"/>
        </w:rPr>
      </w:pPr>
    </w:p>
    <w:p w14:paraId="52F898A9" w14:textId="77777777" w:rsidR="0049746F" w:rsidRDefault="0049746F" w:rsidP="0049746F">
      <w:pPr>
        <w:autoSpaceDE w:val="0"/>
        <w:autoSpaceDN w:val="0"/>
        <w:adjustRightInd w:val="0"/>
        <w:ind w:left="187"/>
        <w:rPr>
          <w:color w:val="000000"/>
        </w:rPr>
      </w:pPr>
      <w:r w:rsidRPr="00300E63">
        <w:rPr>
          <w:color w:val="000000"/>
        </w:rPr>
        <w:t xml:space="preserve">A Protester must exhaust all of </w:t>
      </w:r>
      <w:r>
        <w:rPr>
          <w:color w:val="000000"/>
        </w:rPr>
        <w:t>ETD</w:t>
      </w:r>
      <w:r w:rsidRPr="00300E63">
        <w:rPr>
          <w:color w:val="000000"/>
        </w:rPr>
        <w:t>’s administrative remedies before pursuing a protest with the FTA.</w:t>
      </w:r>
    </w:p>
    <w:p w14:paraId="26055F2B" w14:textId="77777777" w:rsidR="0049746F" w:rsidRPr="00300E63" w:rsidRDefault="0049746F" w:rsidP="0049746F">
      <w:pPr>
        <w:autoSpaceDE w:val="0"/>
        <w:autoSpaceDN w:val="0"/>
        <w:adjustRightInd w:val="0"/>
        <w:rPr>
          <w:color w:val="000000"/>
        </w:rPr>
      </w:pPr>
    </w:p>
    <w:p w14:paraId="3720AAF2" w14:textId="77777777" w:rsidR="0049746F" w:rsidRDefault="0049746F" w:rsidP="0049746F">
      <w:pPr>
        <w:autoSpaceDE w:val="0"/>
        <w:autoSpaceDN w:val="0"/>
        <w:adjustRightInd w:val="0"/>
        <w:ind w:left="187"/>
        <w:rPr>
          <w:color w:val="000000"/>
        </w:rPr>
      </w:pPr>
      <w:r>
        <w:rPr>
          <w:color w:val="000000"/>
        </w:rPr>
        <w:t>ETD’</w:t>
      </w:r>
      <w:r w:rsidRPr="00300E63">
        <w:rPr>
          <w:color w:val="000000"/>
        </w:rPr>
        <w:t xml:space="preserve">s </w:t>
      </w:r>
      <w:r>
        <w:rPr>
          <w:color w:val="000000"/>
        </w:rPr>
        <w:t>Executive Director</w:t>
      </w:r>
      <w:r w:rsidRPr="00300E63">
        <w:rPr>
          <w:color w:val="000000"/>
        </w:rPr>
        <w:t xml:space="preserve"> shall </w:t>
      </w:r>
      <w:proofErr w:type="gramStart"/>
      <w:r w:rsidRPr="00300E63">
        <w:rPr>
          <w:color w:val="000000"/>
        </w:rPr>
        <w:t>make a determination</w:t>
      </w:r>
      <w:proofErr w:type="gramEnd"/>
      <w:r w:rsidRPr="00300E63">
        <w:rPr>
          <w:color w:val="000000"/>
        </w:rPr>
        <w:t xml:space="preserve"> on the Protest generally within ten (10) working days</w:t>
      </w:r>
      <w:r>
        <w:rPr>
          <w:color w:val="000000"/>
        </w:rPr>
        <w:t xml:space="preserve"> </w:t>
      </w:r>
      <w:r w:rsidRPr="00300E63">
        <w:rPr>
          <w:color w:val="000000"/>
        </w:rPr>
        <w:t xml:space="preserve">from receipt of the Protest. The Decision of the </w:t>
      </w:r>
      <w:r>
        <w:rPr>
          <w:color w:val="000000"/>
        </w:rPr>
        <w:t>Executive Director</w:t>
      </w:r>
      <w:r w:rsidRPr="00300E63">
        <w:rPr>
          <w:color w:val="000000"/>
        </w:rPr>
        <w:t xml:space="preserve"> must be in writing and shall include a</w:t>
      </w:r>
      <w:r>
        <w:rPr>
          <w:color w:val="000000"/>
        </w:rPr>
        <w:t xml:space="preserve"> </w:t>
      </w:r>
      <w:r w:rsidRPr="00300E63">
        <w:rPr>
          <w:color w:val="000000"/>
        </w:rPr>
        <w:t>response to each substantive issue raised in the Protest.</w:t>
      </w:r>
      <w:r>
        <w:rPr>
          <w:color w:val="000000"/>
        </w:rPr>
        <w:t xml:space="preserve">  </w:t>
      </w:r>
      <w:r w:rsidRPr="00300E63">
        <w:rPr>
          <w:color w:val="000000"/>
        </w:rPr>
        <w:t xml:space="preserve">Any Decision by the </w:t>
      </w:r>
      <w:r>
        <w:rPr>
          <w:color w:val="000000"/>
        </w:rPr>
        <w:t>Executive Director</w:t>
      </w:r>
      <w:r w:rsidRPr="00300E63">
        <w:rPr>
          <w:color w:val="000000"/>
        </w:rPr>
        <w:t xml:space="preserve"> may be appealed to the Board of Directors. The Protester has the right</w:t>
      </w:r>
      <w:r>
        <w:rPr>
          <w:color w:val="000000"/>
        </w:rPr>
        <w:t xml:space="preserve"> </w:t>
      </w:r>
      <w:r w:rsidRPr="00300E63">
        <w:rPr>
          <w:color w:val="000000"/>
        </w:rPr>
        <w:t xml:space="preserve">within five (5) business days of receipt of the </w:t>
      </w:r>
      <w:r>
        <w:rPr>
          <w:color w:val="000000"/>
        </w:rPr>
        <w:t>Executive Director’s</w:t>
      </w:r>
      <w:r w:rsidRPr="00300E63">
        <w:rPr>
          <w:color w:val="000000"/>
        </w:rPr>
        <w:t xml:space="preserve"> Decision to file an appeal restating the basis</w:t>
      </w:r>
      <w:r>
        <w:rPr>
          <w:color w:val="000000"/>
        </w:rPr>
        <w:t xml:space="preserve"> </w:t>
      </w:r>
      <w:r w:rsidRPr="00300E63">
        <w:rPr>
          <w:color w:val="000000"/>
        </w:rPr>
        <w:t>of the Protest and the grounds of the appeal. In the appeal, the Protester is only permitted to raise information</w:t>
      </w:r>
      <w:r>
        <w:rPr>
          <w:color w:val="000000"/>
        </w:rPr>
        <w:t xml:space="preserve"> </w:t>
      </w:r>
      <w:r w:rsidRPr="00300E63">
        <w:rPr>
          <w:color w:val="000000"/>
        </w:rPr>
        <w:t xml:space="preserve">and issues previously provided in the Protest or discovered after the Protest was submitted to the </w:t>
      </w:r>
      <w:r>
        <w:rPr>
          <w:color w:val="000000"/>
        </w:rPr>
        <w:t>Executive Director</w:t>
      </w:r>
      <w:r w:rsidRPr="00300E63">
        <w:rPr>
          <w:color w:val="000000"/>
        </w:rPr>
        <w:t xml:space="preserve"> for Decision and directly related to the grounds of the Protest. The Protester shall be provided with at</w:t>
      </w:r>
      <w:r>
        <w:rPr>
          <w:color w:val="000000"/>
        </w:rPr>
        <w:t xml:space="preserve"> </w:t>
      </w:r>
      <w:r w:rsidRPr="00300E63">
        <w:rPr>
          <w:color w:val="000000"/>
        </w:rPr>
        <w:t xml:space="preserve">least </w:t>
      </w:r>
      <w:proofErr w:type="gramStart"/>
      <w:r w:rsidRPr="00300E63">
        <w:rPr>
          <w:color w:val="000000"/>
        </w:rPr>
        <w:t>72-hour</w:t>
      </w:r>
      <w:proofErr w:type="gramEnd"/>
      <w:r w:rsidRPr="00300E63">
        <w:rPr>
          <w:color w:val="000000"/>
        </w:rPr>
        <w:t xml:space="preserve"> notification of when the Board of Directors will hear the Appeal. The Protestor may appear, be</w:t>
      </w:r>
      <w:r>
        <w:rPr>
          <w:color w:val="000000"/>
        </w:rPr>
        <w:t xml:space="preserve"> </w:t>
      </w:r>
      <w:r w:rsidRPr="00300E63">
        <w:rPr>
          <w:color w:val="000000"/>
        </w:rPr>
        <w:t>represented and present evidence and testimony at the Appeal Hearing. The Board of Directors’ decision shall</w:t>
      </w:r>
      <w:r>
        <w:rPr>
          <w:color w:val="000000"/>
        </w:rPr>
        <w:t xml:space="preserve"> </w:t>
      </w:r>
      <w:r w:rsidRPr="00300E63">
        <w:rPr>
          <w:color w:val="000000"/>
        </w:rPr>
        <w:t xml:space="preserve">constitute </w:t>
      </w:r>
      <w:r>
        <w:rPr>
          <w:color w:val="000000"/>
        </w:rPr>
        <w:t>ETD</w:t>
      </w:r>
      <w:r w:rsidRPr="00300E63">
        <w:rPr>
          <w:color w:val="000000"/>
        </w:rPr>
        <w:t>’s final administrative determination.</w:t>
      </w:r>
    </w:p>
    <w:p w14:paraId="7B4AD3D6" w14:textId="77777777" w:rsidR="0049746F" w:rsidRPr="00300E63" w:rsidRDefault="0049746F" w:rsidP="0049746F">
      <w:pPr>
        <w:autoSpaceDE w:val="0"/>
        <w:autoSpaceDN w:val="0"/>
        <w:adjustRightInd w:val="0"/>
        <w:rPr>
          <w:color w:val="000000"/>
        </w:rPr>
      </w:pPr>
    </w:p>
    <w:p w14:paraId="00ADB55A" w14:textId="77777777" w:rsidR="0049746F" w:rsidRDefault="0049746F" w:rsidP="0049746F">
      <w:pPr>
        <w:autoSpaceDE w:val="0"/>
        <w:autoSpaceDN w:val="0"/>
        <w:adjustRightInd w:val="0"/>
        <w:ind w:left="187"/>
        <w:rPr>
          <w:color w:val="000000"/>
        </w:rPr>
      </w:pPr>
      <w:r w:rsidRPr="00300E63">
        <w:rPr>
          <w:color w:val="000000"/>
        </w:rPr>
        <w:t xml:space="preserve">If </w:t>
      </w:r>
      <w:r>
        <w:rPr>
          <w:color w:val="000000"/>
        </w:rPr>
        <w:t>ETD</w:t>
      </w:r>
      <w:r w:rsidRPr="00300E63">
        <w:rPr>
          <w:color w:val="000000"/>
        </w:rPr>
        <w:t xml:space="preserve"> postpones the date of proposal submission because of a Protest or Appeal of the solicitation</w:t>
      </w:r>
      <w:r>
        <w:rPr>
          <w:color w:val="000000"/>
        </w:rPr>
        <w:t xml:space="preserve"> </w:t>
      </w:r>
      <w:r w:rsidRPr="00300E63">
        <w:rPr>
          <w:color w:val="000000"/>
        </w:rPr>
        <w:t xml:space="preserve">specifications, addenda, dates or any other issue relating to the procurement, </w:t>
      </w:r>
      <w:r>
        <w:rPr>
          <w:color w:val="000000"/>
        </w:rPr>
        <w:t>ETD</w:t>
      </w:r>
      <w:r w:rsidRPr="00300E63">
        <w:rPr>
          <w:color w:val="000000"/>
        </w:rPr>
        <w:t xml:space="preserve"> will notify, via</w:t>
      </w:r>
      <w:r>
        <w:rPr>
          <w:color w:val="000000"/>
        </w:rPr>
        <w:t xml:space="preserve"> </w:t>
      </w:r>
      <w:r w:rsidRPr="00300E63">
        <w:rPr>
          <w:color w:val="000000"/>
        </w:rPr>
        <w:t>addendum, all parties who are on record as having obtained a copy of the solicitation documents that a</w:t>
      </w:r>
      <w:r>
        <w:rPr>
          <w:color w:val="000000"/>
        </w:rPr>
        <w:t xml:space="preserve"> </w:t>
      </w:r>
      <w:r w:rsidRPr="00300E63">
        <w:rPr>
          <w:color w:val="000000"/>
        </w:rPr>
        <w:t xml:space="preserve">Protest/Appeal had been filed, and the due date for proposal submission shall be postponed until </w:t>
      </w:r>
      <w:r>
        <w:rPr>
          <w:color w:val="000000"/>
        </w:rPr>
        <w:t>ETD</w:t>
      </w:r>
      <w:r w:rsidRPr="00300E63">
        <w:rPr>
          <w:color w:val="000000"/>
        </w:rPr>
        <w:t xml:space="preserve"> has</w:t>
      </w:r>
      <w:r>
        <w:rPr>
          <w:color w:val="000000"/>
        </w:rPr>
        <w:t xml:space="preserve"> </w:t>
      </w:r>
      <w:r w:rsidRPr="00300E63">
        <w:rPr>
          <w:color w:val="000000"/>
        </w:rPr>
        <w:t>issued its final Decision.</w:t>
      </w:r>
    </w:p>
    <w:p w14:paraId="2312F3DF" w14:textId="77777777" w:rsidR="0049746F" w:rsidRDefault="0049746F" w:rsidP="0049746F">
      <w:pPr>
        <w:autoSpaceDE w:val="0"/>
        <w:autoSpaceDN w:val="0"/>
        <w:adjustRightInd w:val="0"/>
        <w:rPr>
          <w:color w:val="000000"/>
        </w:rPr>
      </w:pPr>
    </w:p>
    <w:p w14:paraId="29227201" w14:textId="77777777" w:rsidR="0049746F" w:rsidRPr="00300E63" w:rsidRDefault="0049746F" w:rsidP="0049746F">
      <w:pPr>
        <w:autoSpaceDE w:val="0"/>
        <w:autoSpaceDN w:val="0"/>
        <w:adjustRightInd w:val="0"/>
        <w:ind w:left="187"/>
        <w:rPr>
          <w:color w:val="000000"/>
        </w:rPr>
      </w:pPr>
      <w:r w:rsidRPr="00300E63">
        <w:rPr>
          <w:color w:val="000000"/>
        </w:rPr>
        <w:t>The Protester may withdraw its Protest or Appeal at any time before ET</w:t>
      </w:r>
      <w:r>
        <w:rPr>
          <w:color w:val="000000"/>
        </w:rPr>
        <w:t>D</w:t>
      </w:r>
      <w:r w:rsidRPr="00300E63">
        <w:rPr>
          <w:color w:val="000000"/>
        </w:rPr>
        <w:t xml:space="preserve"> issues a final decision.</w:t>
      </w:r>
    </w:p>
    <w:p w14:paraId="297C53FD" w14:textId="77777777" w:rsidR="0049746F" w:rsidRPr="00300E63" w:rsidRDefault="0049746F" w:rsidP="0049746F">
      <w:pPr>
        <w:autoSpaceDE w:val="0"/>
        <w:autoSpaceDN w:val="0"/>
        <w:adjustRightInd w:val="0"/>
        <w:rPr>
          <w:color w:val="000000"/>
        </w:rPr>
      </w:pPr>
    </w:p>
    <w:p w14:paraId="21AED4E9" w14:textId="77777777" w:rsidR="0049746F" w:rsidRDefault="0049746F" w:rsidP="0049746F">
      <w:pPr>
        <w:autoSpaceDE w:val="0"/>
        <w:autoSpaceDN w:val="0"/>
        <w:adjustRightInd w:val="0"/>
        <w:ind w:left="187"/>
        <w:rPr>
          <w:color w:val="000000"/>
        </w:rPr>
      </w:pPr>
      <w:r w:rsidRPr="00300E63">
        <w:rPr>
          <w:color w:val="000000"/>
        </w:rPr>
        <w:lastRenderedPageBreak/>
        <w:t xml:space="preserve">Reviews of Protests by FTA are limited to 1) </w:t>
      </w:r>
      <w:r>
        <w:rPr>
          <w:color w:val="000000"/>
        </w:rPr>
        <w:t>ETD</w:t>
      </w:r>
      <w:r w:rsidRPr="00300E63">
        <w:rPr>
          <w:color w:val="000000"/>
        </w:rPr>
        <w:t>’s failure to have or follow its protest procedures, or</w:t>
      </w:r>
      <w:r>
        <w:rPr>
          <w:color w:val="000000"/>
        </w:rPr>
        <w:t xml:space="preserve"> </w:t>
      </w:r>
      <w:r w:rsidRPr="00300E63">
        <w:rPr>
          <w:color w:val="000000"/>
        </w:rPr>
        <w:t>its failure to review a complaint or Protest; or 2) violations of Federal law or regulation.</w:t>
      </w:r>
    </w:p>
    <w:p w14:paraId="4B2AAF1F" w14:textId="77777777" w:rsidR="0049746F" w:rsidRPr="00300E63" w:rsidRDefault="0049746F" w:rsidP="0049746F">
      <w:pPr>
        <w:autoSpaceDE w:val="0"/>
        <w:autoSpaceDN w:val="0"/>
        <w:adjustRightInd w:val="0"/>
        <w:rPr>
          <w:color w:val="000000"/>
        </w:rPr>
      </w:pPr>
    </w:p>
    <w:p w14:paraId="3F8D0A7F" w14:textId="77777777" w:rsidR="0049746F" w:rsidRDefault="0049746F" w:rsidP="0049746F">
      <w:pPr>
        <w:autoSpaceDE w:val="0"/>
        <w:autoSpaceDN w:val="0"/>
        <w:adjustRightInd w:val="0"/>
        <w:ind w:left="187"/>
        <w:rPr>
          <w:color w:val="000000"/>
        </w:rPr>
      </w:pPr>
      <w:r w:rsidRPr="00300E63">
        <w:rPr>
          <w:color w:val="000000"/>
        </w:rPr>
        <w:t>A Protest Appeal to the FTA must be filed in accordance with the provisions of FTA Circular 4220.1F.</w:t>
      </w:r>
      <w:r>
        <w:rPr>
          <w:color w:val="000000"/>
        </w:rPr>
        <w:t xml:space="preserve">  </w:t>
      </w:r>
      <w:r w:rsidRPr="00300E63">
        <w:rPr>
          <w:color w:val="000000"/>
        </w:rPr>
        <w:t>Any appeal to the FTA shall be made not later than five (5) working days after a final decision is rendered</w:t>
      </w:r>
      <w:r>
        <w:rPr>
          <w:color w:val="000000"/>
        </w:rPr>
        <w:t xml:space="preserve"> </w:t>
      </w:r>
      <w:r w:rsidRPr="00300E63">
        <w:rPr>
          <w:color w:val="000000"/>
        </w:rPr>
        <w:t xml:space="preserve">under </w:t>
      </w:r>
      <w:r>
        <w:rPr>
          <w:color w:val="000000"/>
        </w:rPr>
        <w:t>ETD</w:t>
      </w:r>
      <w:r w:rsidRPr="00300E63">
        <w:rPr>
          <w:color w:val="000000"/>
        </w:rPr>
        <w:t>s protest procedure. Protest appeals should be filed with:</w:t>
      </w:r>
    </w:p>
    <w:p w14:paraId="20D87E35" w14:textId="77777777" w:rsidR="0049746F" w:rsidRPr="00300E63" w:rsidRDefault="0049746F" w:rsidP="0049746F">
      <w:pPr>
        <w:autoSpaceDE w:val="0"/>
        <w:autoSpaceDN w:val="0"/>
        <w:adjustRightInd w:val="0"/>
        <w:rPr>
          <w:color w:val="000000"/>
        </w:rPr>
      </w:pPr>
    </w:p>
    <w:p w14:paraId="2C6E8974" w14:textId="77777777" w:rsidR="0049746F" w:rsidRPr="00300E63" w:rsidRDefault="0049746F" w:rsidP="0049746F">
      <w:pPr>
        <w:autoSpaceDE w:val="0"/>
        <w:autoSpaceDN w:val="0"/>
        <w:adjustRightInd w:val="0"/>
        <w:ind w:left="187"/>
        <w:rPr>
          <w:b/>
          <w:bCs/>
          <w:color w:val="000000"/>
        </w:rPr>
      </w:pPr>
      <w:r w:rsidRPr="00300E63">
        <w:rPr>
          <w:b/>
          <w:bCs/>
          <w:color w:val="000000"/>
        </w:rPr>
        <w:t>Federal Transit Administration</w:t>
      </w:r>
    </w:p>
    <w:p w14:paraId="279BE495" w14:textId="77777777" w:rsidR="0049746F" w:rsidRPr="00300E63" w:rsidRDefault="0049746F" w:rsidP="0049746F">
      <w:pPr>
        <w:autoSpaceDE w:val="0"/>
        <w:autoSpaceDN w:val="0"/>
        <w:adjustRightInd w:val="0"/>
        <w:ind w:left="187"/>
        <w:rPr>
          <w:color w:val="000000"/>
        </w:rPr>
      </w:pPr>
      <w:r w:rsidRPr="00300E63">
        <w:rPr>
          <w:color w:val="000000"/>
        </w:rPr>
        <w:t>Regional Administrator Region I</w:t>
      </w:r>
    </w:p>
    <w:p w14:paraId="229CFFDF" w14:textId="77777777" w:rsidR="0049746F" w:rsidRDefault="0049746F" w:rsidP="0049746F">
      <w:pPr>
        <w:autoSpaceDE w:val="0"/>
        <w:autoSpaceDN w:val="0"/>
        <w:adjustRightInd w:val="0"/>
        <w:ind w:left="187"/>
        <w:rPr>
          <w:color w:val="000000"/>
        </w:rPr>
      </w:pPr>
      <w:smartTag w:uri="urn:schemas-microsoft-com:office:smarttags" w:element="place">
        <w:smartTag w:uri="urn:schemas-microsoft-com:office:smarttags" w:element="PlaceName">
          <w:r>
            <w:rPr>
              <w:color w:val="000000"/>
            </w:rPr>
            <w:t>Transportation</w:t>
          </w:r>
        </w:smartTag>
        <w:r>
          <w:rPr>
            <w:color w:val="000000"/>
          </w:rPr>
          <w:t xml:space="preserve"> </w:t>
        </w:r>
        <w:smartTag w:uri="urn:schemas-microsoft-com:office:smarttags" w:element="PlaceName">
          <w:r>
            <w:rPr>
              <w:color w:val="000000"/>
            </w:rPr>
            <w:t>Systems</w:t>
          </w:r>
        </w:smartTag>
        <w:r>
          <w:rPr>
            <w:color w:val="000000"/>
          </w:rPr>
          <w:t xml:space="preserve"> </w:t>
        </w:r>
        <w:smartTag w:uri="urn:schemas-microsoft-com:office:smarttags" w:element="PlaceType">
          <w:r>
            <w:rPr>
              <w:color w:val="000000"/>
            </w:rPr>
            <w:t>Center</w:t>
          </w:r>
        </w:smartTag>
      </w:smartTag>
    </w:p>
    <w:p w14:paraId="7C10DC62" w14:textId="77777777" w:rsidR="0049746F" w:rsidRDefault="0049746F" w:rsidP="0049746F">
      <w:pPr>
        <w:autoSpaceDE w:val="0"/>
        <w:autoSpaceDN w:val="0"/>
        <w:adjustRightInd w:val="0"/>
        <w:ind w:left="187"/>
        <w:rPr>
          <w:color w:val="000000"/>
        </w:rPr>
      </w:pPr>
      <w:smartTag w:uri="urn:schemas-microsoft-com:office:smarttags" w:element="address">
        <w:smartTag w:uri="urn:schemas-microsoft-com:office:smarttags" w:element="Street">
          <w:r>
            <w:rPr>
              <w:color w:val="000000"/>
            </w:rPr>
            <w:t>Kendall Square</w:t>
          </w:r>
        </w:smartTag>
      </w:smartTag>
    </w:p>
    <w:p w14:paraId="2DE39BA8" w14:textId="77777777" w:rsidR="0049746F" w:rsidRDefault="0049746F" w:rsidP="0049746F">
      <w:pPr>
        <w:autoSpaceDE w:val="0"/>
        <w:autoSpaceDN w:val="0"/>
        <w:adjustRightInd w:val="0"/>
        <w:ind w:left="187"/>
        <w:rPr>
          <w:color w:val="000000"/>
        </w:rPr>
      </w:pPr>
      <w:r>
        <w:rPr>
          <w:color w:val="000000"/>
        </w:rPr>
        <w:t xml:space="preserve">55 Broadway, </w:t>
      </w:r>
      <w:smartTag w:uri="urn:schemas-microsoft-com:office:smarttags" w:element="address">
        <w:smartTag w:uri="urn:schemas-microsoft-com:office:smarttags" w:element="Street">
          <w:r>
            <w:rPr>
              <w:color w:val="000000"/>
            </w:rPr>
            <w:t>Suite</w:t>
          </w:r>
        </w:smartTag>
        <w:r>
          <w:rPr>
            <w:color w:val="000000"/>
          </w:rPr>
          <w:t xml:space="preserve"> 920</w:t>
        </w:r>
      </w:smartTag>
    </w:p>
    <w:p w14:paraId="0FD73FD8" w14:textId="77777777" w:rsidR="0049746F" w:rsidRDefault="0049746F" w:rsidP="0049746F">
      <w:pPr>
        <w:autoSpaceDE w:val="0"/>
        <w:autoSpaceDN w:val="0"/>
        <w:adjustRightInd w:val="0"/>
        <w:ind w:left="187"/>
        <w:rPr>
          <w:color w:val="000000"/>
        </w:rPr>
      </w:pPr>
      <w:smartTag w:uri="urn:schemas-microsoft-com:office:smarttags" w:element="place">
        <w:smartTag w:uri="urn:schemas-microsoft-com:office:smarttags" w:element="City">
          <w:r>
            <w:rPr>
              <w:color w:val="000000"/>
            </w:rPr>
            <w:t>Cambridge</w:t>
          </w:r>
        </w:smartTag>
        <w:r>
          <w:rPr>
            <w:color w:val="000000"/>
          </w:rPr>
          <w:t xml:space="preserve">, </w:t>
        </w:r>
        <w:smartTag w:uri="urn:schemas-microsoft-com:office:smarttags" w:element="State">
          <w:r>
            <w:rPr>
              <w:color w:val="000000"/>
            </w:rPr>
            <w:t>MA</w:t>
          </w:r>
        </w:smartTag>
        <w:r>
          <w:rPr>
            <w:color w:val="000000"/>
          </w:rPr>
          <w:t xml:space="preserve">  </w:t>
        </w:r>
        <w:smartTag w:uri="urn:schemas-microsoft-com:office:smarttags" w:element="PostalCode">
          <w:r>
            <w:rPr>
              <w:color w:val="000000"/>
            </w:rPr>
            <w:t>02141-1093</w:t>
          </w:r>
        </w:smartTag>
      </w:smartTag>
    </w:p>
    <w:p w14:paraId="4FB903B4" w14:textId="77777777" w:rsidR="0049746F" w:rsidRDefault="0049746F" w:rsidP="0049746F">
      <w:pPr>
        <w:autoSpaceDE w:val="0"/>
        <w:autoSpaceDN w:val="0"/>
        <w:adjustRightInd w:val="0"/>
        <w:rPr>
          <w:color w:val="000000"/>
        </w:rPr>
      </w:pPr>
    </w:p>
    <w:p w14:paraId="07D0001D" w14:textId="77777777" w:rsidR="0049746F" w:rsidRDefault="0049746F" w:rsidP="0049746F">
      <w:pPr>
        <w:autoSpaceDE w:val="0"/>
        <w:autoSpaceDN w:val="0"/>
        <w:adjustRightInd w:val="0"/>
        <w:ind w:left="187"/>
        <w:rPr>
          <w:color w:val="000000"/>
        </w:rPr>
      </w:pPr>
      <w:r>
        <w:rPr>
          <w:color w:val="000000"/>
        </w:rPr>
        <w:t>Phone:617-494-2055</w:t>
      </w:r>
    </w:p>
    <w:p w14:paraId="51A10557" w14:textId="77777777" w:rsidR="0049746F" w:rsidRDefault="0049746F" w:rsidP="0049746F">
      <w:pPr>
        <w:autoSpaceDE w:val="0"/>
        <w:autoSpaceDN w:val="0"/>
        <w:adjustRightInd w:val="0"/>
        <w:ind w:left="187"/>
        <w:rPr>
          <w:color w:val="000000"/>
        </w:rPr>
      </w:pPr>
      <w:r>
        <w:rPr>
          <w:color w:val="000000"/>
        </w:rPr>
        <w:t>Fax:  212-668-2136</w:t>
      </w:r>
    </w:p>
    <w:p w14:paraId="2956CC46" w14:textId="77777777" w:rsidR="0049746F" w:rsidRDefault="0049746F" w:rsidP="0049746F">
      <w:pPr>
        <w:autoSpaceDE w:val="0"/>
        <w:autoSpaceDN w:val="0"/>
        <w:adjustRightInd w:val="0"/>
        <w:rPr>
          <w:color w:val="000000"/>
        </w:rPr>
      </w:pPr>
    </w:p>
    <w:p w14:paraId="01E761F7" w14:textId="77777777" w:rsidR="0049746F" w:rsidRPr="00300E63" w:rsidRDefault="0049746F" w:rsidP="0049746F">
      <w:pPr>
        <w:autoSpaceDE w:val="0"/>
        <w:autoSpaceDN w:val="0"/>
        <w:adjustRightInd w:val="0"/>
        <w:ind w:left="187"/>
        <w:rPr>
          <w:b/>
          <w:bCs/>
          <w:color w:val="000000"/>
        </w:rPr>
      </w:pPr>
      <w:r>
        <w:rPr>
          <w:b/>
          <w:bCs/>
          <w:color w:val="000000"/>
        </w:rPr>
        <w:t xml:space="preserve">ETD </w:t>
      </w:r>
      <w:r w:rsidRPr="00300E63">
        <w:rPr>
          <w:b/>
          <w:bCs/>
          <w:color w:val="000000"/>
        </w:rPr>
        <w:t>RESPONSIBILITIES TO FTA</w:t>
      </w:r>
    </w:p>
    <w:p w14:paraId="24A5ED9D" w14:textId="77777777" w:rsidR="0049746F" w:rsidRDefault="0049746F" w:rsidP="0049746F">
      <w:pPr>
        <w:autoSpaceDE w:val="0"/>
        <w:autoSpaceDN w:val="0"/>
        <w:adjustRightInd w:val="0"/>
        <w:ind w:left="187"/>
        <w:rPr>
          <w:color w:val="000000"/>
        </w:rPr>
      </w:pPr>
      <w:r>
        <w:rPr>
          <w:color w:val="000000"/>
        </w:rPr>
        <w:t>ETD</w:t>
      </w:r>
      <w:r w:rsidRPr="00300E63">
        <w:rPr>
          <w:color w:val="000000"/>
        </w:rPr>
        <w:t xml:space="preserve">’s </w:t>
      </w:r>
      <w:r>
        <w:rPr>
          <w:color w:val="000000"/>
        </w:rPr>
        <w:t>Executive Director</w:t>
      </w:r>
      <w:r w:rsidRPr="00300E63">
        <w:rPr>
          <w:color w:val="000000"/>
        </w:rPr>
        <w:t xml:space="preserve"> will notify </w:t>
      </w:r>
      <w:proofErr w:type="spellStart"/>
      <w:r>
        <w:rPr>
          <w:color w:val="000000"/>
        </w:rPr>
        <w:t>ConnDOT</w:t>
      </w:r>
      <w:proofErr w:type="spellEnd"/>
      <w:r>
        <w:rPr>
          <w:color w:val="000000"/>
        </w:rPr>
        <w:t xml:space="preserve"> who will notify FTA</w:t>
      </w:r>
      <w:r w:rsidRPr="00300E63">
        <w:rPr>
          <w:color w:val="000000"/>
        </w:rPr>
        <w:t xml:space="preserve"> when he/she receives a </w:t>
      </w:r>
      <w:proofErr w:type="gramStart"/>
      <w:r w:rsidRPr="00300E63">
        <w:rPr>
          <w:color w:val="000000"/>
        </w:rPr>
        <w:t>third party</w:t>
      </w:r>
      <w:proofErr w:type="gramEnd"/>
      <w:r w:rsidRPr="00300E63">
        <w:rPr>
          <w:color w:val="000000"/>
        </w:rPr>
        <w:t xml:space="preserve"> contract protest to</w:t>
      </w:r>
      <w:r>
        <w:rPr>
          <w:color w:val="000000"/>
        </w:rPr>
        <w:t xml:space="preserve"> </w:t>
      </w:r>
      <w:r w:rsidRPr="00300E63">
        <w:rPr>
          <w:color w:val="000000"/>
        </w:rPr>
        <w:t xml:space="preserve">which the FTA Circular (4420.1F) </w:t>
      </w:r>
      <w:r w:rsidRPr="00300E63">
        <w:rPr>
          <w:i/>
          <w:iCs/>
          <w:color w:val="000000"/>
        </w:rPr>
        <w:t xml:space="preserve">Third Party Contracting Guidance </w:t>
      </w:r>
      <w:r>
        <w:rPr>
          <w:color w:val="000000"/>
        </w:rPr>
        <w:t xml:space="preserve">applies, and will keep </w:t>
      </w:r>
      <w:proofErr w:type="spellStart"/>
      <w:r>
        <w:rPr>
          <w:color w:val="000000"/>
        </w:rPr>
        <w:t>ConnDOT</w:t>
      </w:r>
      <w:proofErr w:type="spellEnd"/>
      <w:r>
        <w:rPr>
          <w:color w:val="000000"/>
        </w:rPr>
        <w:t xml:space="preserve"> and </w:t>
      </w:r>
      <w:r w:rsidRPr="00300E63">
        <w:rPr>
          <w:color w:val="000000"/>
        </w:rPr>
        <w:t>FTA</w:t>
      </w:r>
      <w:r>
        <w:rPr>
          <w:color w:val="000000"/>
        </w:rPr>
        <w:t xml:space="preserve"> </w:t>
      </w:r>
      <w:r w:rsidRPr="00300E63">
        <w:rPr>
          <w:color w:val="000000"/>
        </w:rPr>
        <w:t>informed about the status of the Protest including any appeals.</w:t>
      </w:r>
    </w:p>
    <w:p w14:paraId="0C997250" w14:textId="77777777" w:rsidR="0049746F" w:rsidRPr="00300E63" w:rsidRDefault="0049746F" w:rsidP="0049746F">
      <w:pPr>
        <w:autoSpaceDE w:val="0"/>
        <w:autoSpaceDN w:val="0"/>
        <w:adjustRightInd w:val="0"/>
        <w:rPr>
          <w:color w:val="000000"/>
        </w:rPr>
      </w:pPr>
    </w:p>
    <w:p w14:paraId="75C31C1C" w14:textId="77777777" w:rsidR="0049746F" w:rsidRDefault="0049746F" w:rsidP="0049746F">
      <w:pPr>
        <w:autoSpaceDE w:val="0"/>
        <w:autoSpaceDN w:val="0"/>
        <w:adjustRightInd w:val="0"/>
        <w:ind w:left="187"/>
        <w:rPr>
          <w:color w:val="000000"/>
        </w:rPr>
      </w:pPr>
      <w:r>
        <w:rPr>
          <w:color w:val="000000"/>
        </w:rPr>
        <w:t>ETD’s Executive Director</w:t>
      </w:r>
      <w:r w:rsidRPr="00300E63">
        <w:rPr>
          <w:color w:val="000000"/>
        </w:rPr>
        <w:t xml:space="preserve"> will provide the following information to </w:t>
      </w:r>
      <w:proofErr w:type="spellStart"/>
      <w:r>
        <w:rPr>
          <w:color w:val="000000"/>
        </w:rPr>
        <w:t>ConnDOT</w:t>
      </w:r>
      <w:proofErr w:type="spellEnd"/>
      <w:r>
        <w:rPr>
          <w:color w:val="000000"/>
        </w:rPr>
        <w:t xml:space="preserve"> and </w:t>
      </w:r>
      <w:r w:rsidRPr="00300E63">
        <w:rPr>
          <w:color w:val="000000"/>
        </w:rPr>
        <w:t>FTA:</w:t>
      </w:r>
    </w:p>
    <w:p w14:paraId="591A4F16" w14:textId="77777777" w:rsidR="0049746F" w:rsidRPr="00300E63" w:rsidRDefault="0049746F" w:rsidP="0049746F">
      <w:pPr>
        <w:autoSpaceDE w:val="0"/>
        <w:autoSpaceDN w:val="0"/>
        <w:adjustRightInd w:val="0"/>
        <w:ind w:left="187"/>
        <w:rPr>
          <w:color w:val="000000"/>
        </w:rPr>
      </w:pPr>
    </w:p>
    <w:p w14:paraId="6158F501" w14:textId="77777777" w:rsidR="0049746F" w:rsidRDefault="0049746F" w:rsidP="0049746F">
      <w:pPr>
        <w:tabs>
          <w:tab w:val="left" w:pos="1800"/>
        </w:tabs>
        <w:autoSpaceDE w:val="0"/>
        <w:autoSpaceDN w:val="0"/>
        <w:adjustRightInd w:val="0"/>
        <w:ind w:left="180"/>
        <w:rPr>
          <w:b/>
          <w:color w:val="000000"/>
        </w:rPr>
      </w:pPr>
      <w:r w:rsidRPr="00D444FD">
        <w:rPr>
          <w:b/>
          <w:color w:val="000000"/>
        </w:rPr>
        <w:t xml:space="preserve">Subjects: </w:t>
      </w:r>
      <w:r>
        <w:rPr>
          <w:b/>
          <w:color w:val="000000"/>
        </w:rPr>
        <w:tab/>
      </w:r>
      <w:r>
        <w:rPr>
          <w:b/>
          <w:color w:val="000000"/>
        </w:rPr>
        <w:tab/>
      </w:r>
      <w:r w:rsidRPr="00D444FD">
        <w:rPr>
          <w:b/>
          <w:color w:val="000000"/>
        </w:rPr>
        <w:t xml:space="preserve">A list of Protests involving third party contracts and potential third </w:t>
      </w:r>
    </w:p>
    <w:p w14:paraId="2CBC046D" w14:textId="77777777" w:rsidR="0049746F" w:rsidRDefault="0049746F" w:rsidP="0049746F">
      <w:pPr>
        <w:tabs>
          <w:tab w:val="left" w:pos="1800"/>
        </w:tabs>
        <w:autoSpaceDE w:val="0"/>
        <w:autoSpaceDN w:val="0"/>
        <w:adjustRightInd w:val="0"/>
        <w:ind w:left="180"/>
        <w:rPr>
          <w:color w:val="000000"/>
        </w:rPr>
      </w:pPr>
      <w:r>
        <w:rPr>
          <w:b/>
          <w:color w:val="000000"/>
        </w:rPr>
        <w:tab/>
      </w:r>
      <w:r>
        <w:rPr>
          <w:b/>
          <w:color w:val="000000"/>
        </w:rPr>
        <w:tab/>
      </w:r>
      <w:r w:rsidRPr="00D444FD">
        <w:rPr>
          <w:b/>
          <w:color w:val="000000"/>
        </w:rPr>
        <w:t>party contracts that</w:t>
      </w:r>
      <w:r w:rsidRPr="00CB0BB1">
        <w:rPr>
          <w:color w:val="000000"/>
        </w:rPr>
        <w:t>:</w:t>
      </w:r>
    </w:p>
    <w:p w14:paraId="44029400" w14:textId="77777777" w:rsidR="0049746F" w:rsidRDefault="0049746F" w:rsidP="0049746F">
      <w:pPr>
        <w:numPr>
          <w:ilvl w:val="0"/>
          <w:numId w:val="7"/>
        </w:numPr>
        <w:tabs>
          <w:tab w:val="left" w:pos="1800"/>
        </w:tabs>
        <w:autoSpaceDE w:val="0"/>
        <w:autoSpaceDN w:val="0"/>
        <w:adjustRightInd w:val="0"/>
        <w:rPr>
          <w:color w:val="000000"/>
        </w:rPr>
      </w:pPr>
      <w:r w:rsidRPr="00300E63">
        <w:rPr>
          <w:color w:val="000000"/>
        </w:rPr>
        <w:t>Have a value exceeding $100,000, or</w:t>
      </w:r>
    </w:p>
    <w:p w14:paraId="31F4AC00" w14:textId="77777777" w:rsidR="0049746F" w:rsidRDefault="0049746F" w:rsidP="0049746F">
      <w:pPr>
        <w:numPr>
          <w:ilvl w:val="0"/>
          <w:numId w:val="7"/>
        </w:numPr>
        <w:tabs>
          <w:tab w:val="left" w:pos="1800"/>
        </w:tabs>
        <w:autoSpaceDE w:val="0"/>
        <w:autoSpaceDN w:val="0"/>
        <w:adjustRightInd w:val="0"/>
        <w:rPr>
          <w:color w:val="000000"/>
        </w:rPr>
      </w:pPr>
      <w:r w:rsidRPr="00CB0BB1">
        <w:rPr>
          <w:color w:val="000000"/>
        </w:rPr>
        <w:t>Involve controversial matter, irrespective of amount, or</w:t>
      </w:r>
    </w:p>
    <w:p w14:paraId="12775A56" w14:textId="77777777" w:rsidR="0049746F" w:rsidRDefault="0049746F" w:rsidP="0049746F">
      <w:pPr>
        <w:numPr>
          <w:ilvl w:val="0"/>
          <w:numId w:val="7"/>
        </w:numPr>
        <w:tabs>
          <w:tab w:val="left" w:pos="1800"/>
        </w:tabs>
        <w:autoSpaceDE w:val="0"/>
        <w:autoSpaceDN w:val="0"/>
        <w:adjustRightInd w:val="0"/>
        <w:rPr>
          <w:color w:val="000000"/>
        </w:rPr>
      </w:pPr>
      <w:r w:rsidRPr="00300E63">
        <w:rPr>
          <w:color w:val="000000"/>
        </w:rPr>
        <w:t>Involve a highly publicized matter, irrespective of amount.</w:t>
      </w:r>
    </w:p>
    <w:p w14:paraId="07D16306" w14:textId="77777777" w:rsidR="0049746F" w:rsidRDefault="0049746F" w:rsidP="0049746F">
      <w:pPr>
        <w:tabs>
          <w:tab w:val="left" w:pos="1800"/>
        </w:tabs>
        <w:autoSpaceDE w:val="0"/>
        <w:autoSpaceDN w:val="0"/>
        <w:adjustRightInd w:val="0"/>
        <w:ind w:left="1800"/>
        <w:rPr>
          <w:color w:val="000000"/>
        </w:rPr>
      </w:pPr>
    </w:p>
    <w:p w14:paraId="06D07F20" w14:textId="77777777" w:rsidR="0049746F" w:rsidRPr="00D444FD" w:rsidRDefault="0049746F" w:rsidP="0049746F">
      <w:pPr>
        <w:tabs>
          <w:tab w:val="left" w:pos="1800"/>
        </w:tabs>
        <w:autoSpaceDE w:val="0"/>
        <w:autoSpaceDN w:val="0"/>
        <w:adjustRightInd w:val="0"/>
        <w:ind w:left="180"/>
        <w:rPr>
          <w:b/>
          <w:color w:val="000000"/>
        </w:rPr>
      </w:pPr>
      <w:r w:rsidRPr="00D444FD">
        <w:rPr>
          <w:b/>
          <w:color w:val="000000"/>
        </w:rPr>
        <w:t xml:space="preserve">Details: </w:t>
      </w:r>
      <w:r>
        <w:rPr>
          <w:b/>
          <w:color w:val="000000"/>
        </w:rPr>
        <w:tab/>
      </w:r>
      <w:r>
        <w:rPr>
          <w:b/>
          <w:color w:val="000000"/>
        </w:rPr>
        <w:tab/>
      </w:r>
      <w:r w:rsidRPr="00D444FD">
        <w:rPr>
          <w:b/>
          <w:color w:val="000000"/>
        </w:rPr>
        <w:t>The following information about each Protest:</w:t>
      </w:r>
    </w:p>
    <w:p w14:paraId="07A9ACF8" w14:textId="77777777" w:rsidR="0049746F" w:rsidRDefault="0049746F" w:rsidP="0049746F">
      <w:pPr>
        <w:numPr>
          <w:ilvl w:val="0"/>
          <w:numId w:val="7"/>
        </w:numPr>
        <w:tabs>
          <w:tab w:val="left" w:pos="1800"/>
        </w:tabs>
        <w:autoSpaceDE w:val="0"/>
        <w:autoSpaceDN w:val="0"/>
        <w:adjustRightInd w:val="0"/>
        <w:rPr>
          <w:color w:val="000000"/>
        </w:rPr>
      </w:pPr>
      <w:r w:rsidRPr="00300E63">
        <w:rPr>
          <w:color w:val="000000"/>
        </w:rPr>
        <w:t>A brief description of the Protest,</w:t>
      </w:r>
    </w:p>
    <w:p w14:paraId="135D5E5E" w14:textId="77777777" w:rsidR="0049746F" w:rsidRDefault="0049746F" w:rsidP="0049746F">
      <w:pPr>
        <w:numPr>
          <w:ilvl w:val="0"/>
          <w:numId w:val="7"/>
        </w:numPr>
        <w:tabs>
          <w:tab w:val="left" w:pos="1800"/>
        </w:tabs>
        <w:autoSpaceDE w:val="0"/>
        <w:autoSpaceDN w:val="0"/>
        <w:adjustRightInd w:val="0"/>
        <w:rPr>
          <w:color w:val="000000"/>
        </w:rPr>
      </w:pPr>
      <w:r w:rsidRPr="00300E63">
        <w:rPr>
          <w:color w:val="000000"/>
        </w:rPr>
        <w:t>The basis of disagreement, and</w:t>
      </w:r>
    </w:p>
    <w:p w14:paraId="7FF9FF6E" w14:textId="77777777" w:rsidR="0049746F" w:rsidRDefault="0049746F" w:rsidP="0049746F">
      <w:pPr>
        <w:numPr>
          <w:ilvl w:val="0"/>
          <w:numId w:val="7"/>
        </w:numPr>
        <w:tabs>
          <w:tab w:val="left" w:pos="1800"/>
        </w:tabs>
        <w:autoSpaceDE w:val="0"/>
        <w:autoSpaceDN w:val="0"/>
        <w:adjustRightInd w:val="0"/>
        <w:rPr>
          <w:color w:val="000000"/>
        </w:rPr>
      </w:pPr>
      <w:r w:rsidRPr="00300E63">
        <w:rPr>
          <w:color w:val="000000"/>
        </w:rPr>
        <w:t>If open, how far the Protest has proceeded, or</w:t>
      </w:r>
    </w:p>
    <w:p w14:paraId="34C92383" w14:textId="77777777" w:rsidR="0049746F" w:rsidRDefault="0049746F" w:rsidP="0049746F">
      <w:pPr>
        <w:numPr>
          <w:ilvl w:val="0"/>
          <w:numId w:val="7"/>
        </w:numPr>
        <w:tabs>
          <w:tab w:val="left" w:pos="1800"/>
        </w:tabs>
        <w:autoSpaceDE w:val="0"/>
        <w:autoSpaceDN w:val="0"/>
        <w:adjustRightInd w:val="0"/>
        <w:rPr>
          <w:color w:val="000000"/>
        </w:rPr>
      </w:pPr>
      <w:r w:rsidRPr="00300E63">
        <w:rPr>
          <w:color w:val="000000"/>
        </w:rPr>
        <w:t>If resolved, the agreement or decision reached, and</w:t>
      </w:r>
    </w:p>
    <w:p w14:paraId="23641881" w14:textId="77777777" w:rsidR="0049746F" w:rsidRDefault="0049746F" w:rsidP="0049746F">
      <w:pPr>
        <w:numPr>
          <w:ilvl w:val="0"/>
          <w:numId w:val="7"/>
        </w:numPr>
        <w:tabs>
          <w:tab w:val="left" w:pos="1800"/>
        </w:tabs>
        <w:autoSpaceDE w:val="0"/>
        <w:autoSpaceDN w:val="0"/>
        <w:adjustRightInd w:val="0"/>
        <w:rPr>
          <w:color w:val="000000"/>
        </w:rPr>
      </w:pPr>
      <w:r w:rsidRPr="00300E63">
        <w:rPr>
          <w:color w:val="000000"/>
        </w:rPr>
        <w:t>Whether an appeal has been taken or is likely to be taken.</w:t>
      </w:r>
    </w:p>
    <w:p w14:paraId="520CE461" w14:textId="77777777" w:rsidR="0049746F" w:rsidRDefault="0049746F" w:rsidP="0049746F">
      <w:pPr>
        <w:tabs>
          <w:tab w:val="left" w:pos="1800"/>
        </w:tabs>
        <w:autoSpaceDE w:val="0"/>
        <w:autoSpaceDN w:val="0"/>
        <w:adjustRightInd w:val="0"/>
        <w:ind w:left="2160"/>
        <w:rPr>
          <w:color w:val="000000"/>
        </w:rPr>
      </w:pPr>
    </w:p>
    <w:p w14:paraId="53A23D12" w14:textId="77777777" w:rsidR="0049746F" w:rsidRDefault="0049746F" w:rsidP="0049746F">
      <w:pPr>
        <w:tabs>
          <w:tab w:val="left" w:pos="1800"/>
        </w:tabs>
        <w:autoSpaceDE w:val="0"/>
        <w:autoSpaceDN w:val="0"/>
        <w:adjustRightInd w:val="0"/>
        <w:ind w:left="180"/>
        <w:rPr>
          <w:b/>
          <w:color w:val="000000"/>
        </w:rPr>
      </w:pPr>
      <w:r w:rsidRPr="00D444FD">
        <w:rPr>
          <w:b/>
          <w:color w:val="000000"/>
        </w:rPr>
        <w:t xml:space="preserve">When and Where: </w:t>
      </w:r>
      <w:r>
        <w:rPr>
          <w:b/>
          <w:color w:val="000000"/>
        </w:rPr>
        <w:tab/>
      </w:r>
      <w:r w:rsidRPr="00D444FD">
        <w:rPr>
          <w:b/>
          <w:color w:val="000000"/>
        </w:rPr>
        <w:t>ETD will provide this information:</w:t>
      </w:r>
    </w:p>
    <w:p w14:paraId="120DC198" w14:textId="77777777" w:rsidR="0049746F" w:rsidRDefault="0049746F" w:rsidP="0049746F">
      <w:pPr>
        <w:numPr>
          <w:ilvl w:val="0"/>
          <w:numId w:val="8"/>
        </w:numPr>
        <w:tabs>
          <w:tab w:val="left" w:pos="1890"/>
          <w:tab w:val="left" w:pos="2070"/>
        </w:tabs>
        <w:autoSpaceDE w:val="0"/>
        <w:autoSpaceDN w:val="0"/>
        <w:adjustRightInd w:val="0"/>
        <w:rPr>
          <w:color w:val="000000"/>
        </w:rPr>
      </w:pPr>
      <w:r w:rsidRPr="00300E63">
        <w:rPr>
          <w:color w:val="000000"/>
        </w:rPr>
        <w:t>In its next quarterly Milestone Progress Report, and</w:t>
      </w:r>
    </w:p>
    <w:p w14:paraId="34C8A6D5" w14:textId="77777777" w:rsidR="0049746F" w:rsidRDefault="0049746F" w:rsidP="0049746F">
      <w:pPr>
        <w:numPr>
          <w:ilvl w:val="0"/>
          <w:numId w:val="8"/>
        </w:numPr>
        <w:autoSpaceDE w:val="0"/>
        <w:autoSpaceDN w:val="0"/>
        <w:adjustRightInd w:val="0"/>
        <w:rPr>
          <w:color w:val="000000"/>
        </w:rPr>
      </w:pPr>
      <w:r w:rsidRPr="00300E63">
        <w:rPr>
          <w:color w:val="000000"/>
        </w:rPr>
        <w:t>At its next Project Management Oversight review, if any.</w:t>
      </w:r>
    </w:p>
    <w:p w14:paraId="10B4FF37" w14:textId="77777777" w:rsidR="0049746F" w:rsidRPr="00D444FD" w:rsidRDefault="0049746F" w:rsidP="0049746F">
      <w:pPr>
        <w:autoSpaceDE w:val="0"/>
        <w:autoSpaceDN w:val="0"/>
        <w:adjustRightInd w:val="0"/>
        <w:ind w:left="2250"/>
        <w:rPr>
          <w:color w:val="000000"/>
        </w:rPr>
      </w:pPr>
    </w:p>
    <w:p w14:paraId="0AAF9F8D" w14:textId="77777777" w:rsidR="0049746F" w:rsidRPr="0003767D" w:rsidRDefault="0049746F" w:rsidP="0049746F">
      <w:pPr>
        <w:pStyle w:val="Outlinea"/>
        <w:numPr>
          <w:ilvl w:val="0"/>
          <w:numId w:val="0"/>
        </w:numPr>
        <w:ind w:left="547"/>
      </w:pPr>
      <w:r w:rsidRPr="00D444FD">
        <w:rPr>
          <w:b/>
        </w:rPr>
        <w:t>Officials to Notify:</w:t>
      </w:r>
      <w:r w:rsidRPr="00300E63">
        <w:t xml:space="preserve"> </w:t>
      </w:r>
      <w:r>
        <w:t xml:space="preserve"> </w:t>
      </w:r>
      <w:r w:rsidRPr="00300E63">
        <w:t xml:space="preserve">When </w:t>
      </w:r>
      <w:r>
        <w:t>ETD</w:t>
      </w:r>
      <w:r w:rsidRPr="00300E63">
        <w:t>’s Board of Directors denies a bid Protest, and</w:t>
      </w:r>
      <w:r>
        <w:t xml:space="preserve"> </w:t>
      </w:r>
      <w:r w:rsidRPr="00300E63">
        <w:t xml:space="preserve">an appeal is likely to occur, </w:t>
      </w:r>
      <w:r>
        <w:t>ETD</w:t>
      </w:r>
      <w:r w:rsidRPr="00300E63">
        <w:t xml:space="preserve">’s </w:t>
      </w:r>
      <w:r>
        <w:t>Executive Director</w:t>
      </w:r>
      <w:r w:rsidRPr="00300E63">
        <w:t xml:space="preserve"> will inform </w:t>
      </w:r>
      <w:proofErr w:type="spellStart"/>
      <w:r>
        <w:t>ConnDOT</w:t>
      </w:r>
      <w:proofErr w:type="spellEnd"/>
      <w:r>
        <w:t xml:space="preserve"> who will inform </w:t>
      </w:r>
      <w:r w:rsidRPr="00300E63">
        <w:t xml:space="preserve">the FTA </w:t>
      </w:r>
      <w:r w:rsidRPr="00300E63">
        <w:lastRenderedPageBreak/>
        <w:t>Regional</w:t>
      </w:r>
      <w:r>
        <w:t xml:space="preserve"> </w:t>
      </w:r>
      <w:r w:rsidRPr="00300E63">
        <w:t>Administrator for Region I, or the FTA Associate Administrator for the program</w:t>
      </w:r>
      <w:r>
        <w:t xml:space="preserve"> </w:t>
      </w:r>
      <w:r w:rsidRPr="00300E63">
        <w:t>office administering a headquarters project directly about the likely appeal.</w:t>
      </w:r>
    </w:p>
    <w:p w14:paraId="0E888B0A" w14:textId="77777777" w:rsidR="0049746F" w:rsidRPr="00300E63" w:rsidRDefault="0049746F" w:rsidP="0049746F">
      <w:pPr>
        <w:autoSpaceDE w:val="0"/>
        <w:autoSpaceDN w:val="0"/>
        <w:adjustRightInd w:val="0"/>
        <w:rPr>
          <w:color w:val="000000"/>
        </w:rPr>
      </w:pPr>
    </w:p>
    <w:p w14:paraId="274AB58F" w14:textId="77777777" w:rsidR="0049746F" w:rsidRPr="00300E63" w:rsidRDefault="0049746F" w:rsidP="0049746F">
      <w:pPr>
        <w:autoSpaceDE w:val="0"/>
        <w:autoSpaceDN w:val="0"/>
        <w:adjustRightInd w:val="0"/>
        <w:ind w:left="187"/>
        <w:rPr>
          <w:b/>
          <w:bCs/>
          <w:u w:val="single"/>
        </w:rPr>
      </w:pPr>
      <w:r>
        <w:rPr>
          <w:color w:val="000000"/>
        </w:rPr>
        <w:t>ETD’s Executive Director will discl</w:t>
      </w:r>
      <w:r w:rsidRPr="00300E63">
        <w:rPr>
          <w:color w:val="000000"/>
        </w:rPr>
        <w:t xml:space="preserve">ose information about any </w:t>
      </w:r>
      <w:proofErr w:type="gramStart"/>
      <w:r w:rsidRPr="00300E63">
        <w:rPr>
          <w:color w:val="000000"/>
        </w:rPr>
        <w:t>third party</w:t>
      </w:r>
      <w:proofErr w:type="gramEnd"/>
      <w:r w:rsidRPr="00300E63">
        <w:rPr>
          <w:color w:val="000000"/>
        </w:rPr>
        <w:t xml:space="preserve"> procurement Protest to FTA</w:t>
      </w:r>
      <w:r>
        <w:rPr>
          <w:color w:val="000000"/>
        </w:rPr>
        <w:t xml:space="preserve"> </w:t>
      </w:r>
      <w:r w:rsidRPr="00300E63">
        <w:rPr>
          <w:color w:val="000000"/>
        </w:rPr>
        <w:t xml:space="preserve">upon request. FTA reserves the right to require </w:t>
      </w:r>
      <w:r>
        <w:rPr>
          <w:color w:val="000000"/>
        </w:rPr>
        <w:t>ETD</w:t>
      </w:r>
      <w:r w:rsidRPr="00300E63">
        <w:rPr>
          <w:color w:val="000000"/>
        </w:rPr>
        <w:t xml:space="preserve"> to provide copies of a particular Protest or all</w:t>
      </w:r>
      <w:r>
        <w:rPr>
          <w:color w:val="000000"/>
        </w:rPr>
        <w:t xml:space="preserve"> </w:t>
      </w:r>
      <w:r w:rsidRPr="00300E63">
        <w:rPr>
          <w:color w:val="000000"/>
        </w:rPr>
        <w:t>Protests, and any or all related supporting documents, as FTA may deem necessary</w:t>
      </w:r>
      <w:r>
        <w:rPr>
          <w:color w:val="000000"/>
        </w:rPr>
        <w:t xml:space="preserve">.  </w:t>
      </w:r>
    </w:p>
    <w:p w14:paraId="7823E7E4" w14:textId="77777777" w:rsidR="0049746F" w:rsidRDefault="0049746F" w:rsidP="0049746F"/>
    <w:p w14:paraId="64CCF63F" w14:textId="148417D5" w:rsidR="00B52042" w:rsidRPr="0049746F" w:rsidRDefault="0049746F" w:rsidP="0049746F">
      <w:r>
        <w:t>**</w:t>
      </w:r>
      <w:r>
        <w:rPr>
          <w:b/>
          <w:bCs/>
        </w:rPr>
        <w:t>ETD</w:t>
      </w:r>
      <w:r>
        <w:t xml:space="preserve"> reserves the right to modify its protest procedures for the procurement of commodities such as diesel fuel, as award notification must be on the date of the bid opening or within a relatively short period of time thereafter as pricing is tied to market pricing and subject fluctuations of the market.  </w:t>
      </w:r>
    </w:p>
    <w:sectPr w:rsidR="00B52042" w:rsidRPr="0049746F" w:rsidSect="00B52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93C4B"/>
    <w:multiLevelType w:val="hybridMultilevel"/>
    <w:tmpl w:val="738C644E"/>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D">
      <w:start w:val="1"/>
      <w:numFmt w:val="bullet"/>
      <w:lvlText w:val=""/>
      <w:lvlJc w:val="left"/>
      <w:pPr>
        <w:ind w:left="7920" w:hanging="360"/>
      </w:pPr>
      <w:rPr>
        <w:rFonts w:ascii="Wingdings" w:hAnsi="Wingdings" w:hint="default"/>
      </w:rPr>
    </w:lvl>
  </w:abstractNum>
  <w:abstractNum w:abstractNumId="1" w15:restartNumberingAfterBreak="0">
    <w:nsid w:val="312B6C2F"/>
    <w:multiLevelType w:val="multilevel"/>
    <w:tmpl w:val="4170F7DE"/>
    <w:lvl w:ilvl="0">
      <w:start w:val="1"/>
      <w:numFmt w:val="decimal"/>
      <w:lvlText w:val="%1."/>
      <w:lvlJc w:val="left"/>
      <w:pPr>
        <w:ind w:left="720" w:hanging="360"/>
      </w:pPr>
      <w:rPr>
        <w:rFonts w:hint="default"/>
        <w:b/>
        <w:u w:val="none"/>
      </w:rPr>
    </w:lvl>
    <w:lvl w:ilvl="1">
      <w:start w:val="1"/>
      <w:numFmt w:val="lowerLetter"/>
      <w:pStyle w:val="Level3"/>
      <w:lvlText w:val="%2."/>
      <w:lvlJc w:val="left"/>
      <w:pPr>
        <w:ind w:left="1080" w:hanging="360"/>
      </w:pPr>
      <w:rPr>
        <w:rFonts w:hint="default"/>
      </w:rPr>
    </w:lvl>
    <w:lvl w:ilvl="2">
      <w:start w:val="1"/>
      <w:numFmt w:val="decimal"/>
      <w:lvlText w:val="(%3)"/>
      <w:lvlJc w:val="right"/>
      <w:pPr>
        <w:ind w:left="1800" w:hanging="180"/>
      </w:pPr>
      <w:rPr>
        <w:rFonts w:ascii="Times New Roman" w:eastAsia="Times New Roman" w:hAnsi="Times New Roman" w:cs="Times New Roman" w:hint="default"/>
      </w:rPr>
    </w:lvl>
    <w:lvl w:ilvl="3">
      <w:start w:val="1"/>
      <w:numFmt w:val="lowerLetter"/>
      <w:lvlText w:val="(%4)"/>
      <w:lvlJc w:val="left"/>
      <w:pPr>
        <w:ind w:left="2520" w:hanging="360"/>
      </w:pPr>
      <w:rPr>
        <w:rFonts w:ascii="Times New Roman" w:eastAsia="Times New Roman" w:hAnsi="Times New Roman" w:cs="Times New Roman" w:hint="default"/>
      </w:rPr>
    </w:lvl>
    <w:lvl w:ilvl="4">
      <w:start w:val="1"/>
      <w:numFmt w:val="decimal"/>
      <w:lvlText w:val="%5."/>
      <w:lvlJc w:val="left"/>
      <w:pPr>
        <w:ind w:left="3240" w:hanging="360"/>
      </w:pPr>
      <w:rPr>
        <w:rFonts w:ascii="Times New Roman" w:eastAsia="Times New Roman" w:hAnsi="Times New Roman" w:cs="Times New Roman" w:hint="default"/>
        <w:u w:val="single"/>
      </w:rPr>
    </w:lvl>
    <w:lvl w:ilvl="5">
      <w:start w:val="1"/>
      <w:numFmt w:val="lowerLetter"/>
      <w:lvlText w:val="%6."/>
      <w:lvlJc w:val="right"/>
      <w:pPr>
        <w:ind w:left="3960" w:hanging="180"/>
      </w:pPr>
      <w:rPr>
        <w:rFonts w:ascii="Times New Roman" w:eastAsia="Times New Roman" w:hAnsi="Times New Roman" w:cs="Times New Roman" w:hint="default"/>
        <w:u w:val="single"/>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32703620"/>
    <w:multiLevelType w:val="multilevel"/>
    <w:tmpl w:val="6DE67BA0"/>
    <w:numStyleLink w:val="Style1"/>
  </w:abstractNum>
  <w:abstractNum w:abstractNumId="3" w15:restartNumberingAfterBreak="0">
    <w:nsid w:val="35F129F0"/>
    <w:multiLevelType w:val="multilevel"/>
    <w:tmpl w:val="BA8E898C"/>
    <w:lvl w:ilvl="0">
      <w:start w:val="1"/>
      <w:numFmt w:val="none"/>
      <w:lvlText w:val="1."/>
      <w:lvlJc w:val="left"/>
      <w:pPr>
        <w:tabs>
          <w:tab w:val="num" w:pos="547"/>
        </w:tabs>
        <w:ind w:left="547" w:hanging="360"/>
      </w:pPr>
      <w:rPr>
        <w:rFonts w:hint="default"/>
      </w:rPr>
    </w:lvl>
    <w:lvl w:ilvl="1">
      <w:start w:val="1"/>
      <w:numFmt w:val="lowerLetter"/>
      <w:lvlText w:val="%2."/>
      <w:lvlJc w:val="left"/>
      <w:pPr>
        <w:tabs>
          <w:tab w:val="num" w:pos="907"/>
        </w:tabs>
        <w:ind w:left="907" w:hanging="360"/>
      </w:pPr>
      <w:rPr>
        <w:rFonts w:hint="default"/>
        <w:color w:val="auto"/>
      </w:rPr>
    </w:lvl>
    <w:lvl w:ilvl="2">
      <w:start w:val="1"/>
      <w:numFmt w:val="decimal"/>
      <w:lvlText w:val="(%3)"/>
      <w:lvlJc w:val="left"/>
      <w:pPr>
        <w:tabs>
          <w:tab w:val="num" w:pos="1271"/>
        </w:tabs>
        <w:ind w:left="1271" w:hanging="461"/>
      </w:pPr>
      <w:rPr>
        <w:rFonts w:hint="default"/>
        <w:b w:val="0"/>
      </w:rPr>
    </w:lvl>
    <w:lvl w:ilvl="3">
      <w:start w:val="1"/>
      <w:numFmt w:val="lowerLetter"/>
      <w:lvlText w:val="(%4)"/>
      <w:lvlJc w:val="left"/>
      <w:pPr>
        <w:tabs>
          <w:tab w:val="num" w:pos="1782"/>
        </w:tabs>
        <w:ind w:left="1782" w:hanging="432"/>
      </w:pPr>
      <w:rPr>
        <w:rFonts w:hint="default"/>
        <w:b w:val="0"/>
      </w:rPr>
    </w:lvl>
    <w:lvl w:ilvl="4">
      <w:start w:val="1"/>
      <w:numFmt w:val="decimal"/>
      <w:lvlText w:val="%5"/>
      <w:lvlJc w:val="left"/>
      <w:pPr>
        <w:tabs>
          <w:tab w:val="num" w:pos="2160"/>
        </w:tabs>
        <w:ind w:left="2160" w:hanging="360"/>
      </w:pPr>
      <w:rPr>
        <w:rFonts w:hint="default"/>
        <w:sz w:val="24"/>
        <w:szCs w:val="24"/>
        <w:u w:val="words"/>
      </w:rPr>
    </w:lvl>
    <w:lvl w:ilvl="5">
      <w:start w:val="1"/>
      <w:numFmt w:val="lowerLetter"/>
      <w:pStyle w:val="Outlinelevel6"/>
      <w:lvlText w:val="%6"/>
      <w:lvlJc w:val="left"/>
      <w:pPr>
        <w:tabs>
          <w:tab w:val="num" w:pos="2520"/>
        </w:tabs>
        <w:ind w:left="2520" w:hanging="360"/>
      </w:pPr>
      <w:rPr>
        <w:rFonts w:hint="default"/>
        <w:sz w:val="24"/>
        <w:szCs w:val="24"/>
        <w:u w:val="words"/>
      </w:rPr>
    </w:lvl>
    <w:lvl w:ilvl="6">
      <w:start w:val="1"/>
      <w:numFmt w:val="upperLetter"/>
      <w:lvlText w:val="%7."/>
      <w:lvlJc w:val="left"/>
      <w:pPr>
        <w:tabs>
          <w:tab w:val="num" w:pos="2790"/>
        </w:tabs>
        <w:ind w:left="2790" w:hanging="360"/>
      </w:pPr>
      <w:rPr>
        <w:rFonts w:ascii="Times New Roman" w:eastAsia="Times New Roman" w:hAnsi="Times New Roman" w:cs="Times New Roman" w:hint="default"/>
      </w:rPr>
    </w:lvl>
    <w:lvl w:ilvl="7">
      <w:start w:val="1"/>
      <w:numFmt w:val="lowerLetter"/>
      <w:lvlText w:val="%8."/>
      <w:lvlJc w:val="left"/>
      <w:pPr>
        <w:tabs>
          <w:tab w:val="num" w:pos="3024"/>
        </w:tabs>
        <w:ind w:left="3024" w:hanging="360"/>
      </w:pPr>
      <w:rPr>
        <w:rFonts w:hint="default"/>
      </w:rPr>
    </w:lvl>
    <w:lvl w:ilvl="8">
      <w:start w:val="1"/>
      <w:numFmt w:val="decimal"/>
      <w:lvlText w:val="%9."/>
      <w:lvlJc w:val="left"/>
      <w:pPr>
        <w:tabs>
          <w:tab w:val="num" w:pos="3384"/>
        </w:tabs>
        <w:ind w:left="3384" w:hanging="360"/>
      </w:pPr>
      <w:rPr>
        <w:rFonts w:hint="default"/>
      </w:rPr>
    </w:lvl>
  </w:abstractNum>
  <w:abstractNum w:abstractNumId="4" w15:restartNumberingAfterBreak="0">
    <w:nsid w:val="399A00D7"/>
    <w:multiLevelType w:val="hybridMultilevel"/>
    <w:tmpl w:val="CED44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46730D"/>
    <w:multiLevelType w:val="multilevel"/>
    <w:tmpl w:val="6DE67BA0"/>
    <w:styleLink w:val="Style1"/>
    <w:lvl w:ilvl="0">
      <w:start w:val="1"/>
      <w:numFmt w:val="decimal"/>
      <w:lvlText w:val="%1."/>
      <w:lvlJc w:val="left"/>
      <w:pPr>
        <w:ind w:left="720" w:hanging="360"/>
      </w:pPr>
      <w:rPr>
        <w:rFonts w:hint="default"/>
        <w:b/>
        <w:u w:val="none"/>
      </w:rPr>
    </w:lvl>
    <w:lvl w:ilvl="1">
      <w:start w:val="1"/>
      <w:numFmt w:val="lowerLetter"/>
      <w:lvlText w:val="%2."/>
      <w:lvlJc w:val="left"/>
      <w:pPr>
        <w:ind w:left="1080" w:hanging="360"/>
      </w:pPr>
    </w:lvl>
    <w:lvl w:ilvl="2">
      <w:start w:val="1"/>
      <w:numFmt w:val="decimal"/>
      <w:lvlText w:val="(%3)"/>
      <w:lvlJc w:val="right"/>
      <w:pPr>
        <w:ind w:left="1800" w:hanging="180"/>
      </w:pPr>
      <w:rPr>
        <w:rFonts w:ascii="Times New Roman" w:eastAsia="Times New Roman" w:hAnsi="Times New Roman" w:cs="Times New Roman"/>
      </w:rPr>
    </w:lvl>
    <w:lvl w:ilvl="3">
      <w:start w:val="1"/>
      <w:numFmt w:val="lowerLetter"/>
      <w:lvlText w:val="(%4)"/>
      <w:lvlJc w:val="left"/>
      <w:pPr>
        <w:ind w:left="2520" w:hanging="360"/>
      </w:pPr>
      <w:rPr>
        <w:rFonts w:ascii="Times New Roman" w:eastAsia="Times New Roman" w:hAnsi="Times New Roman" w:cs="Times New Roman"/>
      </w:rPr>
    </w:lvl>
    <w:lvl w:ilvl="4">
      <w:start w:val="1"/>
      <w:numFmt w:val="decimal"/>
      <w:lvlText w:val="%5."/>
      <w:lvlJc w:val="left"/>
      <w:pPr>
        <w:ind w:left="3240" w:hanging="360"/>
      </w:pPr>
      <w:rPr>
        <w:rFonts w:ascii="Times New Roman" w:eastAsia="Times New Roman" w:hAnsi="Times New Roman" w:cs="Times New Roman"/>
        <w:u w:val="single"/>
      </w:rPr>
    </w:lvl>
    <w:lvl w:ilvl="5">
      <w:start w:val="1"/>
      <w:numFmt w:val="lowerLetter"/>
      <w:lvlText w:val="%6."/>
      <w:lvlJc w:val="right"/>
      <w:pPr>
        <w:ind w:left="3960" w:hanging="180"/>
      </w:pPr>
      <w:rPr>
        <w:rFonts w:ascii="Times New Roman" w:eastAsia="Times New Roman" w:hAnsi="Times New Roman" w:cs="Times New Roman"/>
        <w:u w:val="single"/>
      </w:r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6843B8A"/>
    <w:multiLevelType w:val="hybridMultilevel"/>
    <w:tmpl w:val="CFA2FF3C"/>
    <w:lvl w:ilvl="0" w:tplc="0409000D">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15:restartNumberingAfterBreak="0">
    <w:nsid w:val="5AE142B8"/>
    <w:multiLevelType w:val="multilevel"/>
    <w:tmpl w:val="F7C860F6"/>
    <w:lvl w:ilvl="0">
      <w:start w:val="1"/>
      <w:numFmt w:val="decimal"/>
      <w:lvlText w:val="%1."/>
      <w:lvlJc w:val="left"/>
      <w:pPr>
        <w:tabs>
          <w:tab w:val="num" w:pos="547"/>
        </w:tabs>
        <w:ind w:left="720" w:hanging="504"/>
      </w:pPr>
      <w:rPr>
        <w:rFonts w:ascii="Times New Roman" w:eastAsia="Times New Roman" w:hAnsi="Times New Roman" w:cs="Times New Roman" w:hint="default"/>
      </w:rPr>
    </w:lvl>
    <w:lvl w:ilvl="1">
      <w:start w:val="1"/>
      <w:numFmt w:val="lowerLetter"/>
      <w:pStyle w:val="Outlinea"/>
      <w:lvlText w:val="%2."/>
      <w:lvlJc w:val="left"/>
      <w:pPr>
        <w:tabs>
          <w:tab w:val="num" w:pos="907"/>
        </w:tabs>
        <w:ind w:left="1296" w:hanging="504"/>
      </w:pPr>
      <w:rPr>
        <w:rFonts w:hint="default"/>
        <w:color w:val="auto"/>
      </w:rPr>
    </w:lvl>
    <w:lvl w:ilvl="2">
      <w:start w:val="1"/>
      <w:numFmt w:val="decimal"/>
      <w:lvlText w:val="(%3)"/>
      <w:lvlJc w:val="left"/>
      <w:pPr>
        <w:tabs>
          <w:tab w:val="num" w:pos="1296"/>
        </w:tabs>
        <w:ind w:left="1728" w:hanging="576"/>
      </w:pPr>
      <w:rPr>
        <w:rFonts w:ascii="Times New Roman" w:eastAsia="Times New Roman" w:hAnsi="Times New Roman" w:cs="Times New Roman" w:hint="default"/>
        <w:b w:val="0"/>
      </w:rPr>
    </w:lvl>
    <w:lvl w:ilvl="3">
      <w:start w:val="1"/>
      <w:numFmt w:val="lowerLetter"/>
      <w:lvlText w:val="(%4)"/>
      <w:lvlJc w:val="left"/>
      <w:pPr>
        <w:tabs>
          <w:tab w:val="num" w:pos="1782"/>
        </w:tabs>
        <w:ind w:left="2304" w:hanging="648"/>
      </w:pPr>
      <w:rPr>
        <w:rFonts w:hint="default"/>
      </w:rPr>
    </w:lvl>
    <w:lvl w:ilvl="4">
      <w:start w:val="1"/>
      <w:numFmt w:val="decimal"/>
      <w:lvlText w:val="%5"/>
      <w:lvlJc w:val="left"/>
      <w:pPr>
        <w:tabs>
          <w:tab w:val="num" w:pos="2376"/>
        </w:tabs>
        <w:ind w:left="2592" w:hanging="288"/>
      </w:pPr>
      <w:rPr>
        <w:rFonts w:hint="default"/>
        <w:u w:val="words"/>
      </w:rPr>
    </w:lvl>
    <w:lvl w:ilvl="5">
      <w:start w:val="1"/>
      <w:numFmt w:val="none"/>
      <w:lvlText w:val="a"/>
      <w:lvlJc w:val="left"/>
      <w:pPr>
        <w:tabs>
          <w:tab w:val="num" w:pos="2664"/>
        </w:tabs>
        <w:ind w:left="2952" w:hanging="288"/>
      </w:pPr>
      <w:rPr>
        <w:rFonts w:ascii="Times New Roman" w:hAnsi="Times New Roman" w:cs="Times New Roman" w:hint="default"/>
        <w:sz w:val="24"/>
        <w:szCs w:val="24"/>
        <w:u w:val="words"/>
      </w:rPr>
    </w:lvl>
    <w:lvl w:ilvl="6">
      <w:start w:val="1"/>
      <w:numFmt w:val="none"/>
      <w:lvlText w:val="i."/>
      <w:lvlJc w:val="left"/>
      <w:pPr>
        <w:tabs>
          <w:tab w:val="num" w:pos="3096"/>
        </w:tabs>
        <w:ind w:left="3384" w:hanging="288"/>
      </w:pPr>
      <w:rPr>
        <w:rFonts w:ascii="Times New Roman" w:eastAsia="Times New Roman" w:hAnsi="Times New Roman" w:cs="Times New Roman" w:hint="default"/>
      </w:rPr>
    </w:lvl>
    <w:lvl w:ilvl="7">
      <w:start w:val="1"/>
      <w:numFmt w:val="none"/>
      <w:lvlText w:val="(i)"/>
      <w:lvlJc w:val="left"/>
      <w:pPr>
        <w:tabs>
          <w:tab w:val="num" w:pos="3384"/>
        </w:tabs>
        <w:ind w:left="3816" w:hanging="432"/>
      </w:pPr>
      <w:rPr>
        <w:rFonts w:hint="default"/>
      </w:rPr>
    </w:lvl>
    <w:lvl w:ilvl="8">
      <w:start w:val="1"/>
      <w:numFmt w:val="none"/>
      <w:lvlText w:val="A"/>
      <w:lvlJc w:val="left"/>
      <w:pPr>
        <w:tabs>
          <w:tab w:val="num" w:pos="3816"/>
        </w:tabs>
        <w:ind w:left="4320" w:hanging="504"/>
      </w:pPr>
      <w:rPr>
        <w:rFonts w:ascii="Times New Roman" w:eastAsia="Times New Roman" w:hAnsi="Times New Roman" w:cs="Times New Roman" w:hint="default"/>
      </w:rPr>
    </w:lvl>
  </w:abstractNum>
  <w:num w:numId="1" w16cid:durableId="572348829">
    <w:abstractNumId w:val="5"/>
  </w:num>
  <w:num w:numId="2" w16cid:durableId="1948417224">
    <w:abstractNumId w:val="3"/>
  </w:num>
  <w:num w:numId="3" w16cid:durableId="1164592273">
    <w:abstractNumId w:val="7"/>
  </w:num>
  <w:num w:numId="4" w16cid:durableId="1834252422">
    <w:abstractNumId w:val="2"/>
  </w:num>
  <w:num w:numId="5" w16cid:durableId="254023106">
    <w:abstractNumId w:val="1"/>
  </w:num>
  <w:num w:numId="6" w16cid:durableId="170264174">
    <w:abstractNumId w:val="4"/>
  </w:num>
  <w:num w:numId="7" w16cid:durableId="1429697445">
    <w:abstractNumId w:val="0"/>
  </w:num>
  <w:num w:numId="8" w16cid:durableId="12528613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50FA9"/>
    <w:rsid w:val="00450FA9"/>
    <w:rsid w:val="0049746F"/>
    <w:rsid w:val="00B52042"/>
    <w:rsid w:val="00F32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3A4A597"/>
  <w15:docId w15:val="{98E85831-0E5A-4744-AB17-4CF1D026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FA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450F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level5">
    <w:name w:val="Outline level 5"/>
    <w:basedOn w:val="BodyText"/>
    <w:link w:val="Outlinelevel5Char"/>
    <w:autoRedefine/>
    <w:rsid w:val="00450FA9"/>
    <w:pPr>
      <w:spacing w:after="240"/>
      <w:ind w:left="1782" w:firstLine="18"/>
    </w:pPr>
    <w:rPr>
      <w:szCs w:val="24"/>
    </w:rPr>
  </w:style>
  <w:style w:type="character" w:customStyle="1" w:styleId="Outlinelevel5Char">
    <w:name w:val="Outline level 5 Char"/>
    <w:basedOn w:val="DefaultParagraphFont"/>
    <w:link w:val="Outlinelevel5"/>
    <w:rsid w:val="00450FA9"/>
    <w:rPr>
      <w:rFonts w:ascii="Times New Roman" w:eastAsia="Times New Roman" w:hAnsi="Times New Roman" w:cs="Times New Roman"/>
      <w:sz w:val="24"/>
      <w:szCs w:val="24"/>
    </w:rPr>
  </w:style>
  <w:style w:type="paragraph" w:customStyle="1" w:styleId="Outline1">
    <w:name w:val="Outline 1"/>
    <w:basedOn w:val="BodyText"/>
    <w:link w:val="Outline1Char"/>
    <w:autoRedefine/>
    <w:rsid w:val="00450FA9"/>
    <w:pPr>
      <w:tabs>
        <w:tab w:val="left" w:pos="180"/>
      </w:tabs>
      <w:spacing w:after="240"/>
      <w:ind w:left="720"/>
    </w:pPr>
  </w:style>
  <w:style w:type="character" w:customStyle="1" w:styleId="Outline1Char">
    <w:name w:val="Outline 1 Char"/>
    <w:basedOn w:val="DefaultParagraphFont"/>
    <w:link w:val="Outline1"/>
    <w:rsid w:val="00450FA9"/>
    <w:rPr>
      <w:rFonts w:ascii="Times New Roman" w:eastAsia="Times New Roman" w:hAnsi="Times New Roman" w:cs="Times New Roman"/>
      <w:sz w:val="24"/>
      <w:szCs w:val="20"/>
    </w:rPr>
  </w:style>
  <w:style w:type="paragraph" w:customStyle="1" w:styleId="Outlinea">
    <w:name w:val="Outline a"/>
    <w:basedOn w:val="BodyText"/>
    <w:link w:val="OutlineaChar"/>
    <w:autoRedefine/>
    <w:rsid w:val="00450FA9"/>
    <w:pPr>
      <w:numPr>
        <w:ilvl w:val="1"/>
        <w:numId w:val="3"/>
      </w:numPr>
      <w:spacing w:after="240"/>
    </w:pPr>
    <w:rPr>
      <w:szCs w:val="24"/>
    </w:rPr>
  </w:style>
  <w:style w:type="character" w:customStyle="1" w:styleId="OutlineaChar">
    <w:name w:val="Outline a Char"/>
    <w:basedOn w:val="DefaultParagraphFont"/>
    <w:link w:val="Outlinea"/>
    <w:rsid w:val="00450FA9"/>
    <w:rPr>
      <w:rFonts w:ascii="Times New Roman" w:eastAsia="Times New Roman" w:hAnsi="Times New Roman" w:cs="Times New Roman"/>
      <w:sz w:val="24"/>
      <w:szCs w:val="24"/>
    </w:rPr>
  </w:style>
  <w:style w:type="paragraph" w:customStyle="1" w:styleId="Outline10">
    <w:name w:val="Outline (1)"/>
    <w:basedOn w:val="BodyText"/>
    <w:link w:val="Outline1Char0"/>
    <w:autoRedefine/>
    <w:rsid w:val="00450FA9"/>
    <w:pPr>
      <w:tabs>
        <w:tab w:val="left" w:pos="180"/>
        <w:tab w:val="left" w:pos="810"/>
      </w:tabs>
      <w:spacing w:after="240"/>
      <w:ind w:left="540"/>
    </w:pPr>
  </w:style>
  <w:style w:type="character" w:customStyle="1" w:styleId="Outline1Char0">
    <w:name w:val="Outline (1) Char"/>
    <w:basedOn w:val="DefaultParagraphFont"/>
    <w:link w:val="Outline10"/>
    <w:rsid w:val="00450FA9"/>
    <w:rPr>
      <w:rFonts w:ascii="Times New Roman" w:eastAsia="Times New Roman" w:hAnsi="Times New Roman" w:cs="Times New Roman"/>
      <w:sz w:val="24"/>
      <w:szCs w:val="20"/>
    </w:rPr>
  </w:style>
  <w:style w:type="paragraph" w:customStyle="1" w:styleId="Outlinea0">
    <w:name w:val="Outline (a)"/>
    <w:basedOn w:val="BodyText"/>
    <w:link w:val="OutlineaChar0"/>
    <w:autoRedefine/>
    <w:rsid w:val="00450FA9"/>
    <w:pPr>
      <w:tabs>
        <w:tab w:val="left" w:pos="360"/>
        <w:tab w:val="left" w:pos="1080"/>
      </w:tabs>
      <w:spacing w:after="240"/>
      <w:ind w:left="360" w:hanging="360"/>
    </w:pPr>
  </w:style>
  <w:style w:type="character" w:customStyle="1" w:styleId="OutlineaChar0">
    <w:name w:val="Outline (a) Char"/>
    <w:basedOn w:val="DefaultParagraphFont"/>
    <w:link w:val="Outlinea0"/>
    <w:rsid w:val="00450FA9"/>
    <w:rPr>
      <w:rFonts w:ascii="Times New Roman" w:eastAsia="Times New Roman" w:hAnsi="Times New Roman" w:cs="Times New Roman"/>
      <w:sz w:val="24"/>
      <w:szCs w:val="20"/>
    </w:rPr>
  </w:style>
  <w:style w:type="paragraph" w:customStyle="1" w:styleId="Outlinelevel6">
    <w:name w:val="Outline level 6"/>
    <w:basedOn w:val="BodyText"/>
    <w:link w:val="Outlinelevel6Char"/>
    <w:autoRedefine/>
    <w:rsid w:val="00450FA9"/>
    <w:pPr>
      <w:numPr>
        <w:ilvl w:val="5"/>
        <w:numId w:val="2"/>
      </w:numPr>
      <w:spacing w:after="240"/>
    </w:pPr>
  </w:style>
  <w:style w:type="character" w:customStyle="1" w:styleId="Outlinelevel6Char">
    <w:name w:val="Outline level 6 Char"/>
    <w:basedOn w:val="DefaultParagraphFont"/>
    <w:link w:val="Outlinelevel6"/>
    <w:rsid w:val="00450FA9"/>
    <w:rPr>
      <w:rFonts w:ascii="Times New Roman" w:eastAsia="Times New Roman" w:hAnsi="Times New Roman" w:cs="Times New Roman"/>
      <w:sz w:val="24"/>
      <w:szCs w:val="20"/>
    </w:rPr>
  </w:style>
  <w:style w:type="paragraph" w:customStyle="1" w:styleId="Outline1Nonum">
    <w:name w:val="Outline (1) (Nonum)"/>
    <w:basedOn w:val="BodyText"/>
    <w:link w:val="Outline1NonumChar"/>
    <w:rsid w:val="00450FA9"/>
    <w:pPr>
      <w:tabs>
        <w:tab w:val="left" w:pos="1368"/>
      </w:tabs>
      <w:spacing w:after="240"/>
      <w:ind w:left="1368"/>
    </w:pPr>
  </w:style>
  <w:style w:type="character" w:customStyle="1" w:styleId="Outline1NonumChar">
    <w:name w:val="Outline (1) (Nonum) Char"/>
    <w:basedOn w:val="DefaultParagraphFont"/>
    <w:link w:val="Outline1Nonum"/>
    <w:rsid w:val="00450FA9"/>
    <w:rPr>
      <w:rFonts w:ascii="Times New Roman" w:eastAsia="Times New Roman" w:hAnsi="Times New Roman" w:cs="Times New Roman"/>
      <w:sz w:val="24"/>
      <w:szCs w:val="20"/>
    </w:rPr>
  </w:style>
  <w:style w:type="numbering" w:customStyle="1" w:styleId="Style1">
    <w:name w:val="Style1"/>
    <w:rsid w:val="00450FA9"/>
    <w:pPr>
      <w:numPr>
        <w:numId w:val="1"/>
      </w:numPr>
    </w:pPr>
  </w:style>
  <w:style w:type="paragraph" w:customStyle="1" w:styleId="Level1">
    <w:name w:val="Level 1"/>
    <w:basedOn w:val="Heading1"/>
    <w:link w:val="Level1Char"/>
    <w:qFormat/>
    <w:rsid w:val="00450FA9"/>
    <w:pPr>
      <w:keepLines w:val="0"/>
      <w:spacing w:before="0"/>
      <w:jc w:val="center"/>
    </w:pPr>
    <w:rPr>
      <w:rFonts w:ascii="Times New Roman" w:eastAsia="Times New Roman" w:hAnsi="Times New Roman" w:cs="Times New Roman"/>
      <w:bCs w:val="0"/>
      <w:color w:val="auto"/>
      <w:sz w:val="24"/>
      <w:szCs w:val="20"/>
      <w:u w:val="single"/>
    </w:rPr>
  </w:style>
  <w:style w:type="paragraph" w:customStyle="1" w:styleId="Level2">
    <w:name w:val="Level 2"/>
    <w:basedOn w:val="Outlinea"/>
    <w:link w:val="Level2Char"/>
    <w:qFormat/>
    <w:rsid w:val="00450FA9"/>
    <w:pPr>
      <w:numPr>
        <w:ilvl w:val="0"/>
        <w:numId w:val="0"/>
      </w:numPr>
    </w:pPr>
    <w:rPr>
      <w:b/>
      <w:u w:val="single"/>
    </w:rPr>
  </w:style>
  <w:style w:type="character" w:customStyle="1" w:styleId="Level1Char">
    <w:name w:val="Level 1 Char"/>
    <w:basedOn w:val="Heading1Char"/>
    <w:link w:val="Level1"/>
    <w:rsid w:val="00450FA9"/>
    <w:rPr>
      <w:rFonts w:ascii="Times New Roman" w:eastAsia="Times New Roman" w:hAnsi="Times New Roman" w:cs="Times New Roman"/>
      <w:b/>
      <w:bCs/>
      <w:color w:val="365F91" w:themeColor="accent1" w:themeShade="BF"/>
      <w:sz w:val="24"/>
      <w:szCs w:val="20"/>
      <w:u w:val="single"/>
    </w:rPr>
  </w:style>
  <w:style w:type="character" w:customStyle="1" w:styleId="Level2Char">
    <w:name w:val="Level 2 Char"/>
    <w:basedOn w:val="OutlineaChar"/>
    <w:link w:val="Level2"/>
    <w:rsid w:val="00450FA9"/>
    <w:rPr>
      <w:rFonts w:ascii="Times New Roman" w:eastAsia="Times New Roman" w:hAnsi="Times New Roman" w:cs="Times New Roman"/>
      <w:b/>
      <w:sz w:val="24"/>
      <w:szCs w:val="24"/>
      <w:u w:val="single"/>
    </w:rPr>
  </w:style>
  <w:style w:type="paragraph" w:customStyle="1" w:styleId="Level3">
    <w:name w:val="Level 3"/>
    <w:basedOn w:val="Outlinea"/>
    <w:link w:val="Level3Char"/>
    <w:qFormat/>
    <w:rsid w:val="00450FA9"/>
    <w:pPr>
      <w:numPr>
        <w:numId w:val="5"/>
      </w:numPr>
    </w:pPr>
    <w:rPr>
      <w:b/>
      <w:u w:val="single"/>
    </w:rPr>
  </w:style>
  <w:style w:type="character" w:customStyle="1" w:styleId="Level3Char">
    <w:name w:val="Level 3 Char"/>
    <w:basedOn w:val="OutlineaChar"/>
    <w:link w:val="Level3"/>
    <w:rsid w:val="00450FA9"/>
    <w:rPr>
      <w:rFonts w:ascii="Times New Roman" w:eastAsia="Times New Roman" w:hAnsi="Times New Roman" w:cs="Times New Roman"/>
      <w:b/>
      <w:sz w:val="24"/>
      <w:szCs w:val="24"/>
      <w:u w:val="single"/>
    </w:rPr>
  </w:style>
  <w:style w:type="paragraph" w:styleId="BodyText">
    <w:name w:val="Body Text"/>
    <w:basedOn w:val="Normal"/>
    <w:link w:val="BodyTextChar"/>
    <w:uiPriority w:val="99"/>
    <w:semiHidden/>
    <w:unhideWhenUsed/>
    <w:rsid w:val="00450FA9"/>
    <w:pPr>
      <w:spacing w:after="120"/>
    </w:pPr>
  </w:style>
  <w:style w:type="character" w:customStyle="1" w:styleId="BodyTextChar">
    <w:name w:val="Body Text Char"/>
    <w:basedOn w:val="DefaultParagraphFont"/>
    <w:link w:val="BodyText"/>
    <w:uiPriority w:val="99"/>
    <w:semiHidden/>
    <w:rsid w:val="00450FA9"/>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50FA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1238</Words>
  <Characters>7062</Characters>
  <Application>Microsoft Office Word</Application>
  <DocSecurity>0</DocSecurity>
  <Lines>58</Lines>
  <Paragraphs>16</Paragraphs>
  <ScaleCrop>false</ScaleCrop>
  <Company>Hewlett-Packard Company</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jcomerford</dc:creator>
  <cp:lastModifiedBy>Joe Comerford</cp:lastModifiedBy>
  <cp:revision>2</cp:revision>
  <dcterms:created xsi:type="dcterms:W3CDTF">2013-02-05T17:38:00Z</dcterms:created>
  <dcterms:modified xsi:type="dcterms:W3CDTF">2024-02-12T18:42:00Z</dcterms:modified>
</cp:coreProperties>
</file>